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69A2" w14:textId="77777777" w:rsidR="00BA0A18" w:rsidRDefault="00BA0A18" w:rsidP="00254150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</w:pPr>
    </w:p>
    <w:p w14:paraId="4E7494D6" w14:textId="4C493797" w:rsidR="00093798" w:rsidRPr="00167947" w:rsidRDefault="00105635" w:rsidP="00254150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 xml:space="preserve">INSTRUCTIVO PARA SOLICITUD DE </w:t>
      </w:r>
      <w:r w:rsidR="004F1712" w:rsidRPr="00167947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>REGISTRO DE PRODUCTOR</w:t>
      </w:r>
      <w:r w:rsidR="00A536A7" w:rsidRPr="00167947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>ES</w:t>
      </w:r>
      <w:r w:rsidR="004F1712" w:rsidRPr="00167947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 xml:space="preserve"> DE ALCOHOL CARBURANTE</w:t>
      </w:r>
    </w:p>
    <w:p w14:paraId="5A4BD6DB" w14:textId="77777777" w:rsidR="00254150" w:rsidRPr="00167947" w:rsidRDefault="00254150" w:rsidP="00254150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0907554A" w14:textId="7E9CA3FB" w:rsidR="00DE5805" w:rsidRPr="00167947" w:rsidRDefault="00E82EB3" w:rsidP="00254150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  <w:t>Descripción del trámite:</w:t>
      </w:r>
    </w:p>
    <w:p w14:paraId="65A560F2" w14:textId="7F61E966" w:rsidR="00DE5805" w:rsidRPr="00167947" w:rsidRDefault="00C270BF" w:rsidP="00754BF1">
      <w:pPr>
        <w:tabs>
          <w:tab w:val="left" w:pos="1134"/>
        </w:tabs>
        <w:jc w:val="both"/>
        <w:rPr>
          <w:rFonts w:ascii="Montserrat Light" w:eastAsia="Titillium Lt" w:hAnsi="Montserrat Light" w:cs="Titillium Lt"/>
          <w:b/>
          <w:strike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Es la obligación de los Productores de Alcohol Carburante que</w:t>
      </w:r>
      <w:r w:rsidR="005636C1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se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utilizará </w:t>
      </w:r>
      <w:r w:rsidR="005636C1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en 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la Mezcla con gasolinas en el territorio nacional </w:t>
      </w:r>
      <w:r w:rsidR="00FD79D6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 registrarse ante el Ministerio de Energía y Minas a través de</w:t>
      </w:r>
      <w:r w:rsidR="005636C1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la Dirección General de Energía.</w:t>
      </w:r>
    </w:p>
    <w:p w14:paraId="148517FB" w14:textId="2DF0364E" w:rsidR="00DE5805" w:rsidRPr="00167947" w:rsidRDefault="00C64854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167947">
        <w:rPr>
          <w:rFonts w:ascii="Montserrat Light" w:hAnsi="Montserrat Light"/>
          <w:noProof/>
          <w:color w:val="002060"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57422B" wp14:editId="6B434397">
                <wp:simplePos x="0" y="0"/>
                <wp:positionH relativeFrom="column">
                  <wp:posOffset>3313707</wp:posOffset>
                </wp:positionH>
                <wp:positionV relativeFrom="paragraph">
                  <wp:posOffset>130727</wp:posOffset>
                </wp:positionV>
                <wp:extent cx="2858494" cy="1724025"/>
                <wp:effectExtent l="0" t="0" r="1841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B7065" w14:textId="77777777" w:rsidR="00DE5805" w:rsidRPr="00C90665" w:rsidRDefault="00E82EB3" w:rsidP="00BB116E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color w:val="002060"/>
                              </w:rPr>
                            </w:pPr>
                            <w:r w:rsidRPr="00C90665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Resultado del trámite:</w:t>
                            </w:r>
                          </w:p>
                          <w:p w14:paraId="4AC3862B" w14:textId="15BD9E14" w:rsidR="00DE5805" w:rsidRPr="00C90665" w:rsidRDefault="004C2BF8" w:rsidP="00BB116E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90665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Inscripción registral</w:t>
                            </w:r>
                          </w:p>
                          <w:p w14:paraId="49FEF14B" w14:textId="77777777" w:rsidR="00DE5805" w:rsidRPr="00C90665" w:rsidRDefault="00DE5805" w:rsidP="00BB116E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47BA3A2" w14:textId="466D1FF7" w:rsidR="00DE5805" w:rsidRPr="00C90665" w:rsidRDefault="00E82EB3" w:rsidP="00BB116E">
                            <w:pPr>
                              <w:jc w:val="both"/>
                              <w:textDirection w:val="btLr"/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</w:pPr>
                            <w:r w:rsidRPr="00C90665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Costo del trámite:</w:t>
                            </w:r>
                          </w:p>
                          <w:p w14:paraId="637033F9" w14:textId="687DF3BC" w:rsidR="00943AD5" w:rsidRPr="00BB116E" w:rsidRDefault="007B0ACB" w:rsidP="00BB116E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90665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Diez salarios mensuales mínimos vigentes para las actividades no agrícolas en el área central, según arancel del Acuerdo Gubernativo Número 159-2023</w:t>
                            </w:r>
                          </w:p>
                          <w:p w14:paraId="37D024CE" w14:textId="77777777" w:rsidR="00DE5805" w:rsidRDefault="00DE5805">
                            <w:pPr>
                              <w:textDirection w:val="btLr"/>
                            </w:pPr>
                          </w:p>
                          <w:p w14:paraId="4AE173EF" w14:textId="0869A573" w:rsidR="00DE5805" w:rsidRDefault="00DE580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422B" id="Rectángulo: esquinas redondeadas 14" o:spid="_x0000_s1026" style="position:absolute;margin-left:260.9pt;margin-top:10.3pt;width:225.1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" fillcolor="white [3201]" strokecolor="#00206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E6B7065" w14:textId="77777777" w:rsidR="00DE5805" w:rsidRPr="00C90665" w:rsidRDefault="00E82EB3" w:rsidP="00BB116E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color w:val="002060"/>
                        </w:rPr>
                      </w:pPr>
                      <w:r w:rsidRPr="00C90665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Resultado del trámite:</w:t>
                      </w:r>
                    </w:p>
                    <w:p w14:paraId="4AC3862B" w14:textId="15BD9E14" w:rsidR="00DE5805" w:rsidRPr="00C90665" w:rsidRDefault="004C2BF8" w:rsidP="00BB116E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color w:val="002060"/>
                          <w:sz w:val="20"/>
                          <w:szCs w:val="20"/>
                        </w:rPr>
                      </w:pPr>
                      <w:r w:rsidRPr="00C90665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Inscripción registral</w:t>
                      </w:r>
                    </w:p>
                    <w:p w14:paraId="49FEF14B" w14:textId="77777777" w:rsidR="00DE5805" w:rsidRPr="00C90665" w:rsidRDefault="00DE5805" w:rsidP="00BB116E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color w:val="002060"/>
                          <w:sz w:val="20"/>
                          <w:szCs w:val="20"/>
                        </w:rPr>
                      </w:pPr>
                    </w:p>
                    <w:p w14:paraId="547BA3A2" w14:textId="466D1FF7" w:rsidR="00DE5805" w:rsidRPr="00C90665" w:rsidRDefault="00E82EB3" w:rsidP="00BB116E">
                      <w:pPr>
                        <w:jc w:val="both"/>
                        <w:textDirection w:val="btLr"/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</w:pPr>
                      <w:r w:rsidRPr="00C90665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Costo del trámite:</w:t>
                      </w:r>
                    </w:p>
                    <w:p w14:paraId="637033F9" w14:textId="687DF3BC" w:rsidR="00943AD5" w:rsidRPr="00BB116E" w:rsidRDefault="007B0ACB" w:rsidP="00BB116E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C90665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Diez salarios mensuales mínimos vigentes para las actividades no agrícolas en el área central, según arancel del Acuerdo Gubernativo Número 159-2023</w:t>
                      </w:r>
                    </w:p>
                    <w:p w14:paraId="37D024CE" w14:textId="77777777" w:rsidR="00DE5805" w:rsidRDefault="00DE5805">
                      <w:pPr>
                        <w:textDirection w:val="btLr"/>
                      </w:pPr>
                    </w:p>
                    <w:p w14:paraId="4AE173EF" w14:textId="0869A573" w:rsidR="00DE5805" w:rsidRDefault="00DE5805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F5B985" w14:textId="651B0D66" w:rsidR="00DE5805" w:rsidRPr="00167947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DDB0C23" w14:textId="73600721" w:rsidR="00DE5805" w:rsidRPr="00167947" w:rsidRDefault="00254150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167947">
        <w:rPr>
          <w:rFonts w:ascii="Montserrat Light" w:eastAsia="Titillium Lt" w:hAnsi="Montserrat Light" w:cs="Titillium Lt"/>
          <w:noProof/>
          <w:color w:val="002060"/>
          <w:sz w:val="24"/>
          <w:szCs w:val="24"/>
          <w:lang w:val="es-GT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0A16ECD" wp14:editId="55BB9528">
                <wp:simplePos x="0" y="0"/>
                <wp:positionH relativeFrom="column">
                  <wp:posOffset>-1905</wp:posOffset>
                </wp:positionH>
                <wp:positionV relativeFrom="paragraph">
                  <wp:posOffset>103919</wp:posOffset>
                </wp:positionV>
                <wp:extent cx="3082925" cy="1038639"/>
                <wp:effectExtent l="0" t="0" r="3175" b="952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038639"/>
                        </a:xfrm>
                        <a:prstGeom prst="roundRect">
                          <a:avLst>
                            <a:gd name="adj" fmla="val 7823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51406" w14:textId="77777777" w:rsidR="00DE5805" w:rsidRPr="00C90665" w:rsidRDefault="00E82EB3">
                            <w:pPr>
                              <w:spacing w:before="96"/>
                              <w:ind w:right="715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C90665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 xml:space="preserve">Base Legal: </w:t>
                            </w:r>
                          </w:p>
                          <w:p w14:paraId="54BDDFFA" w14:textId="7292C0F7" w:rsidR="00DE5805" w:rsidRPr="00DC7794" w:rsidRDefault="004F1712">
                            <w:pPr>
                              <w:jc w:val="both"/>
                              <w:textDirection w:val="btLr"/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90665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Decreto Ley 17-85, Ley del Alcohol Carburante; Acuerdo Gubernativo Número 159-2023, </w:t>
                            </w:r>
                            <w:r w:rsidR="00F46707" w:rsidRPr="00C90665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Reglamento General de la Ley del Alcohol Carburante</w:t>
                            </w:r>
                          </w:p>
                          <w:p w14:paraId="6A9AB949" w14:textId="77777777" w:rsidR="00525D19" w:rsidRPr="00C10753" w:rsidRDefault="00525D19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16ECD" id="Rectángulo: esquinas redondeadas 13" o:spid="_x0000_s1027" style="position:absolute;margin-left:-.15pt;margin-top:8.2pt;width:242.75pt;height:81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" fillcolor="white [3201]" stroked="f">
                <v:textbox inset="2.53958mm,1.2694mm,2.53958mm,1.2694mm">
                  <w:txbxContent>
                    <w:p w14:paraId="24651406" w14:textId="77777777" w:rsidR="00DE5805" w:rsidRPr="00C90665" w:rsidRDefault="00E82EB3">
                      <w:pPr>
                        <w:spacing w:before="96"/>
                        <w:ind w:right="715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C90665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 xml:space="preserve">Base Legal: </w:t>
                      </w:r>
                    </w:p>
                    <w:p w14:paraId="54BDDFFA" w14:textId="7292C0F7" w:rsidR="00DE5805" w:rsidRPr="00DC7794" w:rsidRDefault="004F1712">
                      <w:pPr>
                        <w:jc w:val="both"/>
                        <w:textDirection w:val="btLr"/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</w:pPr>
                      <w:r w:rsidRPr="00C90665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Decreto Ley 17-85, Ley del Alcohol Carburante; Acuerdo Gubernativo Número 159-2023, </w:t>
                      </w:r>
                      <w:r w:rsidR="00F46707" w:rsidRPr="00C90665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Reglamento General de la Ley del Alcohol Carburante</w:t>
                      </w:r>
                    </w:p>
                    <w:p w14:paraId="6A9AB949" w14:textId="77777777" w:rsidR="00525D19" w:rsidRPr="00C10753" w:rsidRDefault="00525D19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6D9F56" w14:textId="77777777" w:rsidR="00DE5805" w:rsidRPr="00167947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23869391" w14:textId="77777777" w:rsidR="00DE5805" w:rsidRPr="00167947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CD7D5AC" w14:textId="77777777" w:rsidR="00DE5805" w:rsidRPr="00167947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F2D29EE" w14:textId="77777777" w:rsidR="00DE5805" w:rsidRPr="00167947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02AE98CF" w14:textId="77777777" w:rsidR="00DE5805" w:rsidRPr="00167947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313E289" w14:textId="77777777" w:rsidR="005D04EE" w:rsidRPr="00167947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3D4E7FAB" w14:textId="77777777" w:rsidR="00525D19" w:rsidRPr="00167947" w:rsidRDefault="00525D19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F28EEB9" w14:textId="69581830" w:rsidR="00DE5805" w:rsidRPr="00167947" w:rsidRDefault="00E82EB3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  <w:r w:rsidRPr="00167947"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  <w:t>Requisitos:</w:t>
      </w:r>
    </w:p>
    <w:p w14:paraId="605B31E2" w14:textId="22CD2FF0" w:rsidR="00DE5805" w:rsidRPr="00167947" w:rsidRDefault="00E82EB3">
      <w:pPr>
        <w:tabs>
          <w:tab w:val="left" w:pos="1134"/>
        </w:tabs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A continuación, se detallan los documentos que </w:t>
      </w:r>
      <w:r w:rsidR="007B0ACB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se deben presentar en la ventanilla </w:t>
      </w:r>
      <w:r w:rsidR="00860BBC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7B0ACB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la Dirección General de Energía -DGE-</w:t>
      </w:r>
      <w:r w:rsidR="00670DFC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, todos los documentos a presentar deben estar vigentes a la fecha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:</w:t>
      </w:r>
    </w:p>
    <w:p w14:paraId="259593A1" w14:textId="77777777" w:rsidR="00DE5805" w:rsidRPr="00167947" w:rsidRDefault="00DE5805">
      <w:pPr>
        <w:jc w:val="both"/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64D49DF" w14:textId="0E9CE1D5" w:rsidR="00DE5805" w:rsidRPr="00167947" w:rsidRDefault="00E82EB3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167947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persona individual:</w:t>
      </w:r>
    </w:p>
    <w:p w14:paraId="3390514A" w14:textId="77777777" w:rsidR="00B06E66" w:rsidRPr="00167947" w:rsidRDefault="00B06E66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23266D64" w14:textId="77777777" w:rsidR="00254150" w:rsidRPr="00167947" w:rsidRDefault="00860BBC" w:rsidP="002541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Fotocopia del d</w:t>
      </w:r>
      <w:r w:rsidR="00A72B7B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ocumento de identificación personal del solicitante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5C87094" w14:textId="77777777" w:rsidR="00DD2DD3" w:rsidRPr="00167947" w:rsidRDefault="00A72B7B" w:rsidP="00DD2DD3">
      <w:pPr>
        <w:pStyle w:val="Prrafodelista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Nacionales: </w:t>
      </w:r>
      <w:r w:rsidR="00DD302D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 Personal de Identificación</w:t>
      </w:r>
      <w:r w:rsidR="00AA2EC0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vigente</w:t>
      </w:r>
      <w:r w:rsidR="00DD302D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-DPI</w:t>
      </w:r>
      <w:r w:rsidR="003857CF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(</w:t>
      </w:r>
      <w:r w:rsidR="00DD302D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ambos lados)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0DEE04" w14:textId="5C91F09C" w:rsidR="00A72B7B" w:rsidRPr="00167947" w:rsidRDefault="00A72B7B" w:rsidP="00DD2DD3">
      <w:pPr>
        <w:pStyle w:val="Prrafodelista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Extranjeros: Pasaporte vigente</w:t>
      </w:r>
      <w:r w:rsidR="003857CF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completo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7058420" w14:textId="77777777" w:rsidR="00DE5805" w:rsidRPr="00167947" w:rsidRDefault="00DE5805" w:rsidP="00745D8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920799" w14:textId="138A16D3" w:rsidR="00745D8C" w:rsidRPr="00167947" w:rsidRDefault="00860BBC" w:rsidP="00745D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Fotocopia de la </w:t>
      </w:r>
      <w:r w:rsidR="00E82EB3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Patente de Comercio de Empresa</w:t>
      </w:r>
      <w:r w:rsidR="00F6620A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</w:p>
    <w:p w14:paraId="6BA8FAAA" w14:textId="77777777" w:rsidR="00745D8C" w:rsidRPr="00167947" w:rsidRDefault="00745D8C" w:rsidP="00745D8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32512226" w14:textId="709B81E3" w:rsidR="00146E01" w:rsidRPr="00167947" w:rsidRDefault="00146E01" w:rsidP="00146E01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strike/>
          <w:color w:val="002060"/>
          <w:sz w:val="20"/>
          <w:szCs w:val="20"/>
          <w:lang w:val="es-GT"/>
        </w:rPr>
      </w:pPr>
      <w:bookmarkStart w:id="0" w:name="_Hlk148596516"/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Constancia de inscripción en el Registro Tributario Unificado -RTU-, de la Superintendencia de Administración Tributaria.  (Destilerías existentes, deberán tener inscrita </w:t>
      </w:r>
      <w:r w:rsidR="00DC7794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una actividad económica relacionada a 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la</w:t>
      </w:r>
      <w:r w:rsidR="00DC7794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producción de alcohol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)</w:t>
      </w:r>
    </w:p>
    <w:bookmarkEnd w:id="0"/>
    <w:p w14:paraId="66F09247" w14:textId="77777777" w:rsidR="005D04EE" w:rsidRPr="00167947" w:rsidRDefault="005D04EE" w:rsidP="005D04EE">
      <w:pPr>
        <w:pStyle w:val="Prrafodelista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1BAF5194" w14:textId="77777777" w:rsidR="00860BBC" w:rsidRPr="00167947" w:rsidRDefault="00860BBC" w:rsidP="00860BB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bookmarkStart w:id="1" w:name="_Hlk148517159"/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Si el solicitante actúa en representación de otra persona, se debe adjuntar fotocopia del testimonio de la Escritura Pública que contiene el </w:t>
      </w:r>
      <w:r w:rsidRPr="00167947">
        <w:rPr>
          <w:rFonts w:ascii="Montserrat Light" w:eastAsia="Titillium Lt" w:hAnsi="Montserrat Light" w:cs="Titillium Lt"/>
          <w:bCs/>
          <w:strike/>
          <w:color w:val="002060"/>
          <w:sz w:val="20"/>
          <w:szCs w:val="20"/>
          <w:lang w:val="es-GT"/>
        </w:rPr>
        <w:t>de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mandato especial con representación legal, debidamente razonado por los registros correspondientes.</w:t>
      </w:r>
    </w:p>
    <w:bookmarkEnd w:id="1"/>
    <w:p w14:paraId="2FD969D1" w14:textId="77777777" w:rsidR="00860BBC" w:rsidRPr="00167947" w:rsidRDefault="00860BBC" w:rsidP="00860BBC">
      <w:p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42BD429B" w14:textId="77777777" w:rsidR="00860BBC" w:rsidRPr="00167947" w:rsidRDefault="00860BBC" w:rsidP="00860BBC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167947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una persona jurídica:</w:t>
      </w:r>
    </w:p>
    <w:p w14:paraId="71B0F951" w14:textId="77777777" w:rsidR="00860BBC" w:rsidRPr="00167947" w:rsidRDefault="00860BBC" w:rsidP="00860BBC">
      <w:p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7FC0FA9" w14:textId="77777777" w:rsidR="00FD4887" w:rsidRPr="00167947" w:rsidRDefault="006B0644" w:rsidP="00FD488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d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ocumento de identificación personal </w:t>
      </w:r>
      <w:r w:rsidR="003857CF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del representante legal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:</w:t>
      </w:r>
    </w:p>
    <w:p w14:paraId="6BD7B258" w14:textId="77777777" w:rsidR="00FD4887" w:rsidRPr="00167947" w:rsidRDefault="00F6620A" w:rsidP="00FD4887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Nacionales: Documento Personal de Identificación</w:t>
      </w:r>
      <w:r w:rsidR="00AA2EC0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vigente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-DPI</w:t>
      </w:r>
      <w:r w:rsidR="007B0ACB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-</w:t>
      </w:r>
      <w:r w:rsidR="00AA2EC0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(ambos lados)</w:t>
      </w:r>
    </w:p>
    <w:p w14:paraId="389F66D0" w14:textId="28CA16C1" w:rsidR="00DE5805" w:rsidRPr="00167947" w:rsidRDefault="00F6620A" w:rsidP="00FD4887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Extranjeros: </w:t>
      </w:r>
      <w:r w:rsidR="004C2BF8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Fotocopia del 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Pasaporte vigente</w:t>
      </w:r>
      <w:r w:rsidR="003857CF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,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completo.</w:t>
      </w:r>
    </w:p>
    <w:p w14:paraId="070DF0FD" w14:textId="77777777" w:rsidR="00FD509D" w:rsidRPr="00167947" w:rsidRDefault="00FD509D" w:rsidP="00F6620A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49B2CDC8" w14:textId="178A20CB" w:rsidR="00F6620A" w:rsidRPr="00167947" w:rsidRDefault="006B0644" w:rsidP="00F6620A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Acta de N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ombramiento Vigente del Representante Legal, razonado por los Registros que correspondan.</w:t>
      </w:r>
    </w:p>
    <w:p w14:paraId="5A6E2B5D" w14:textId="77777777" w:rsidR="009D3667" w:rsidRPr="00167947" w:rsidRDefault="009D3667" w:rsidP="009D3667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727CD41B" w14:textId="5152B637" w:rsidR="004C2BF8" w:rsidRPr="00167947" w:rsidRDefault="004C2BF8" w:rsidP="004C2BF8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testimonio de la Escritura Pública de constitución de la sociedad con sus modificaciones si las hubiere, razonadas por el Registro Mercantil.</w:t>
      </w:r>
    </w:p>
    <w:p w14:paraId="39E20DD7" w14:textId="77777777" w:rsidR="004C2BF8" w:rsidRPr="00167947" w:rsidRDefault="004C2BF8" w:rsidP="004C2BF8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5BBC6620" w14:textId="3D0ED6E3" w:rsidR="00F6620A" w:rsidRPr="00167947" w:rsidRDefault="004C2BF8" w:rsidP="00F6620A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EB729C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atente de Comercio de Sociedad.</w:t>
      </w:r>
    </w:p>
    <w:p w14:paraId="5A6CF887" w14:textId="77777777" w:rsidR="00FD509D" w:rsidRPr="00167947" w:rsidRDefault="00FD509D" w:rsidP="00FD509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51E7E67A" w14:textId="62CFB14E" w:rsidR="00F6620A" w:rsidRPr="00167947" w:rsidRDefault="004C2BF8" w:rsidP="00F6620A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F6620A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Empresa.</w:t>
      </w:r>
    </w:p>
    <w:p w14:paraId="60B1CE5A" w14:textId="77777777" w:rsidR="001D256D" w:rsidRPr="00167947" w:rsidRDefault="001D256D" w:rsidP="001D256D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448DD8D0" w14:textId="3994A404" w:rsidR="00DC7794" w:rsidRPr="00167947" w:rsidRDefault="004C2BF8" w:rsidP="00CC3EF4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Constancia de inscripción en el Registro Tributario Unificado -RTU-, de la Superintendencia de Administración Tributaria</w:t>
      </w:r>
      <w:r w:rsidR="00DC7794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  (Destilerías existentes, deberán tener inscrita una actividad económica relacionada a la producción de alcohol)</w:t>
      </w:r>
    </w:p>
    <w:p w14:paraId="16650233" w14:textId="77777777" w:rsidR="00167947" w:rsidRPr="00167947" w:rsidRDefault="00167947" w:rsidP="0016794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35D97D67" w14:textId="52A8EF43" w:rsidR="00DE5805" w:rsidRPr="00167947" w:rsidRDefault="003431F1" w:rsidP="006347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Certifica</w:t>
      </w:r>
      <w:r w:rsidR="004C2BF8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ción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de la inscripción de la </w:t>
      </w:r>
      <w:r w:rsidR="00C50197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s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ociedad en el </w:t>
      </w:r>
      <w:r w:rsidR="00C50197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R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egistro </w:t>
      </w:r>
      <w:r w:rsidR="00C50197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M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ercantil</w:t>
      </w:r>
    </w:p>
    <w:p w14:paraId="4BC8898D" w14:textId="77777777" w:rsidR="00705872" w:rsidRPr="00167947" w:rsidRDefault="00705872" w:rsidP="0070587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3ACB002" w14:textId="483AF24A" w:rsidR="00DE5805" w:rsidRPr="00167947" w:rsidRDefault="00E82EB3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167947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 xml:space="preserve">Para ambas personerías, adjuntar los siguientes formularios y documentos:  </w:t>
      </w:r>
    </w:p>
    <w:p w14:paraId="186DCA8A" w14:textId="77777777" w:rsidR="00B06E66" w:rsidRPr="00167947" w:rsidRDefault="00B06E66">
      <w:p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2EEF81A7" w14:textId="476B94DF" w:rsidR="0030181A" w:rsidRPr="00167947" w:rsidRDefault="00604EEE" w:rsidP="0030181A">
      <w:pPr>
        <w:pStyle w:val="Prrafodelista"/>
        <w:widowControl/>
        <w:numPr>
          <w:ilvl w:val="0"/>
          <w:numId w:val="3"/>
        </w:numPr>
        <w:jc w:val="both"/>
        <w:rPr>
          <w:rFonts w:ascii="Montserrat Light" w:eastAsia="Titillium Lt" w:hAnsi="Montserrat Light" w:cs="Titillium Lt"/>
          <w:i/>
          <w:iCs/>
          <w:color w:val="002060"/>
          <w:sz w:val="20"/>
          <w:szCs w:val="20"/>
          <w:u w:val="single"/>
          <w:lang w:val="es-GT"/>
        </w:rPr>
      </w:pP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Formulario </w:t>
      </w:r>
      <w:r w:rsidR="00105635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solicitud de registro de productor</w:t>
      </w:r>
      <w:r w:rsidR="00A536A7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es</w:t>
      </w:r>
      <w:r w:rsidR="00105635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de alcohol carburante</w:t>
      </w:r>
      <w:r w:rsidR="00E82EB3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354DBD5C" w14:textId="77777777" w:rsidR="0030181A" w:rsidRPr="00167947" w:rsidRDefault="0030181A" w:rsidP="0030181A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41EC57CB" w14:textId="5CB91CE8" w:rsidR="00EA313B" w:rsidRPr="00167947" w:rsidRDefault="00BD5B32" w:rsidP="00943AD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Indicar en nota u oficio </w:t>
      </w:r>
      <w:r w:rsidR="000F73A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con respecto al</w:t>
      </w:r>
      <w:r w:rsidR="006E682D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0F73A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requisito de la </w:t>
      </w:r>
      <w:r w:rsidR="006E682D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especificación</w:t>
      </w:r>
      <w:r w:rsidR="00762C22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 la materia prima a utilizarse en el proceso y su abastecimiento</w:t>
      </w:r>
      <w:r w:rsidR="009D4A7A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,</w:t>
      </w:r>
      <w:r w:rsidR="00762C22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indi</w:t>
      </w:r>
      <w:r w:rsidR="00DC4D6F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cando la materia prima con la que se abastece </w:t>
      </w:r>
      <w:r w:rsidR="005E260B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normalmente,</w:t>
      </w:r>
      <w:r w:rsidR="00DC4D6F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así como describir de forma general </w:t>
      </w:r>
      <w:r w:rsidR="006E682D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su proceso productivo, </w:t>
      </w:r>
      <w:r w:rsidR="00E03D0B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</w:t>
      </w:r>
      <w:r w:rsidR="006E682D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nfocado en procesos que impactan en la emisión de gases de efecto invernadero</w:t>
      </w:r>
    </w:p>
    <w:p w14:paraId="22F0D9FE" w14:textId="77777777" w:rsidR="00EA313B" w:rsidRPr="00167947" w:rsidRDefault="00EA313B" w:rsidP="00EA313B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41246B2D" w14:textId="5583F21E" w:rsidR="00943AD5" w:rsidRPr="00167947" w:rsidRDefault="00943AD5" w:rsidP="00943AD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Estados financieros con opinión de Contador Público y Auditor, colegiado activo, del último ejercicio fiscal.</w:t>
      </w:r>
    </w:p>
    <w:p w14:paraId="215E07CB" w14:textId="77777777" w:rsidR="00943AD5" w:rsidRPr="00167947" w:rsidRDefault="00943AD5" w:rsidP="00943AD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6CEC62A" w14:textId="28E127A3" w:rsidR="00BF700C" w:rsidRPr="00167947" w:rsidRDefault="00BF700C" w:rsidP="0010563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Planos de las instalaciones y localización del equipo de producción, firmados por Ingeniero Colegiado activo de la respectiva especialidad.</w:t>
      </w:r>
    </w:p>
    <w:p w14:paraId="17CEE2E0" w14:textId="77777777" w:rsidR="00764CB8" w:rsidRPr="00167947" w:rsidRDefault="00764CB8" w:rsidP="00764CB8">
      <w:pPr>
        <w:pStyle w:val="Prrafodelista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360DB445" w14:textId="72B85AAC" w:rsidR="004C2BF8" w:rsidRPr="00167947" w:rsidRDefault="00764CB8" w:rsidP="004C2B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Mapa escala 1:50,000 indicando la localización geográfica del terreno donde se planifica instalar la destilería.</w:t>
      </w:r>
      <w:r w:rsidR="004C2BF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 (P</w:t>
      </w:r>
      <w:r w:rsidR="004C2BF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</w:rPr>
        <w:t>ara el caso de destilerías en operación con anterioridad a la vigencia del Reglamento General de la Ley Del Alcohol Carburante, Acuerdo Gubernativo 159-2023, deberán presentar el mapa indicado con respecto de su destilería en operación.)</w:t>
      </w:r>
    </w:p>
    <w:p w14:paraId="285D548E" w14:textId="77777777" w:rsidR="00764CB8" w:rsidRPr="00167947" w:rsidRDefault="00764CB8" w:rsidP="00764CB8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5E4F6EDF" w14:textId="3C30DF4E" w:rsidR="00764CB8" w:rsidRPr="00167947" w:rsidRDefault="00764CB8" w:rsidP="0010563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Mapa escala 1:2,000 indicando la ubicación de las instalaciones y características importantes del terreno.</w:t>
      </w:r>
    </w:p>
    <w:p w14:paraId="738BD859" w14:textId="77777777" w:rsidR="00105635" w:rsidRPr="00167947" w:rsidRDefault="00105635" w:rsidP="00BF700C">
      <w:pPr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0EE9ABAA" w14:textId="1DAEE831" w:rsidR="00764CB8" w:rsidRPr="00167947" w:rsidRDefault="00764CB8" w:rsidP="005528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Plan de inversión</w:t>
      </w:r>
      <w:r w:rsidR="00A536A7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  <w:r w:rsidR="004C2BF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 (Para Destilerías existentes, deberán detallar inversiones adicionales que planeen, así como reportar anualmente el nivel de inversión en mantenimiento</w:t>
      </w:r>
      <w:r w:rsidR="005D0C90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) </w:t>
      </w:r>
    </w:p>
    <w:p w14:paraId="09240E67" w14:textId="77777777" w:rsidR="005D0C90" w:rsidRPr="00167947" w:rsidRDefault="005D0C90" w:rsidP="005D0C9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009E5945" w14:textId="5209D277" w:rsidR="00105635" w:rsidRPr="00167947" w:rsidRDefault="00105635" w:rsidP="00344FA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Cronograma de las actividades</w:t>
      </w:r>
      <w:r w:rsidR="00511220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5D0C90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(En el cual se detallen las actividades normales y recurrentes de la destilería)</w:t>
      </w:r>
    </w:p>
    <w:p w14:paraId="0BFD33FB" w14:textId="77777777" w:rsidR="00764CB8" w:rsidRPr="00167947" w:rsidRDefault="00764CB8" w:rsidP="00764CB8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339C3DD7" w14:textId="0EF8E5B8" w:rsidR="00764CB8" w:rsidRPr="00167947" w:rsidRDefault="00764CB8" w:rsidP="00344FA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Plan de conservación del medio ambiente, con énfasis al tratamiento de las vinazas.</w:t>
      </w:r>
    </w:p>
    <w:p w14:paraId="525EA228" w14:textId="77777777" w:rsidR="000E4368" w:rsidRPr="00167947" w:rsidRDefault="000E4368" w:rsidP="000E4368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7D918314" w14:textId="4450EA8F" w:rsidR="000E4368" w:rsidRPr="00167947" w:rsidRDefault="001D180B" w:rsidP="00344FA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Plan de conservación del medio ambiente, con su instrumento ambiental debidamente aprobado por el Ministerio de </w:t>
      </w:r>
      <w:r w:rsidR="004C2BF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mbiente y Recursos Naturales, correspondiente </w:t>
      </w:r>
      <w:r w:rsidR="00E01AD0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a 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sus actividades actuales o proyectadas como </w:t>
      </w:r>
      <w:r w:rsidR="00F77F99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Productor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</w:p>
    <w:p w14:paraId="28E79A68" w14:textId="77777777" w:rsidR="000D1446" w:rsidRPr="00167947" w:rsidRDefault="000D1446" w:rsidP="00A536A7">
      <w:pPr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450AC79A" w14:textId="1BC25DE9" w:rsidR="000D1446" w:rsidRPr="00167947" w:rsidRDefault="00670DFC" w:rsidP="000D144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</w:t>
      </w:r>
      <w:r w:rsidR="000D1446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olvencia fiscal extendida por la</w:t>
      </w:r>
      <w:r w:rsidR="00B27041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0C2D9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Superintendencia de </w:t>
      </w:r>
      <w:r w:rsidR="00E44E9B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Administración Tributaria</w:t>
      </w:r>
      <w:r w:rsidR="000C2D9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-</w:t>
      </w:r>
      <w:r w:rsidR="00B27041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SAT</w:t>
      </w:r>
      <w:r w:rsidR="000C2D98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-</w:t>
      </w:r>
    </w:p>
    <w:p w14:paraId="53F0422D" w14:textId="77777777" w:rsidR="00BF700C" w:rsidRPr="00167947" w:rsidRDefault="00BF700C" w:rsidP="00BF700C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363615D4" w14:textId="1D104DD9" w:rsidR="00BF700C" w:rsidRPr="00167947" w:rsidRDefault="00BF700C" w:rsidP="00BF70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Declaración</w:t>
      </w:r>
      <w:r w:rsidR="005D0C90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en el sentido de que expresamente se sujeta a lo dispuesto en la Ley de Alcohol Carburante, su </w:t>
      </w:r>
      <w:r w:rsidR="00B27041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R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eglamento y demás disposiciones afines que sean emitidas.</w:t>
      </w:r>
    </w:p>
    <w:p w14:paraId="7A137494" w14:textId="77777777" w:rsidR="00943AD5" w:rsidRPr="00167947" w:rsidRDefault="00943AD5" w:rsidP="00943AD5">
      <w:pPr>
        <w:pStyle w:val="Prrafodelista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158E343" w14:textId="585AF604" w:rsidR="00943AD5" w:rsidRPr="00167947" w:rsidRDefault="00943AD5" w:rsidP="00BF70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Recibo de Pago </w:t>
      </w:r>
      <w:r w:rsidR="002704C1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de Inscripción única de Productor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, según Acuerdo Gubernativo Número 159-2023</w:t>
      </w:r>
      <w:r w:rsidR="002704C1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AB1D8F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artículo</w:t>
      </w:r>
      <w:r w:rsidR="002704C1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9 “Arancel”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</w:p>
    <w:p w14:paraId="66DF7836" w14:textId="77777777" w:rsidR="00F84564" w:rsidRPr="00167947" w:rsidRDefault="00F84564" w:rsidP="00F845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79AC623E" w14:textId="6255A335" w:rsidR="00DE5805" w:rsidRPr="00167947" w:rsidRDefault="004C2BF8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167947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G</w:t>
      </w:r>
      <w:r w:rsidR="00D41E62" w:rsidRPr="00167947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eneralidades</w:t>
      </w:r>
      <w:r w:rsidR="00E01AD0" w:rsidRPr="00167947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:</w:t>
      </w:r>
    </w:p>
    <w:p w14:paraId="2E8F9E04" w14:textId="77777777" w:rsidR="00E01AD0" w:rsidRPr="00167947" w:rsidRDefault="00E01AD0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4976EE74" w14:textId="4C94B558" w:rsidR="004C2BF8" w:rsidRPr="00167947" w:rsidRDefault="004C2BF8" w:rsidP="004C2BF8">
      <w:pPr>
        <w:pStyle w:val="Prrafodelista"/>
        <w:widowControl/>
        <w:numPr>
          <w:ilvl w:val="0"/>
          <w:numId w:val="15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Toda solicitud o gestión debe ser dirigida a</w:t>
      </w:r>
      <w:r w:rsidR="00E01AD0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la </w:t>
      </w:r>
      <w:r w:rsidR="00C90665"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Dirección General</w:t>
      </w: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 Energía.</w:t>
      </w:r>
    </w:p>
    <w:p w14:paraId="72A6B593" w14:textId="77777777" w:rsidR="004C2BF8" w:rsidRPr="00167947" w:rsidRDefault="004C2BF8" w:rsidP="004C2BF8">
      <w:pPr>
        <w:pStyle w:val="Prrafodelista"/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0090B5A7" w14:textId="77777777" w:rsidR="004C2BF8" w:rsidRPr="00167947" w:rsidRDefault="004C2BF8" w:rsidP="004C2BF8">
      <w:pPr>
        <w:pStyle w:val="Prrafodelista"/>
        <w:widowControl/>
        <w:numPr>
          <w:ilvl w:val="0"/>
          <w:numId w:val="15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solicitud se deberá presentar en la Ventanilla de la Dirección General de Energía</w:t>
      </w:r>
    </w:p>
    <w:p w14:paraId="4A9574D9" w14:textId="77777777" w:rsidR="004C2BF8" w:rsidRPr="00167947" w:rsidRDefault="004C2BF8" w:rsidP="004C2BF8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62B096FA" w14:textId="77777777" w:rsidR="004C2BF8" w:rsidRPr="00167947" w:rsidRDefault="004C2BF8" w:rsidP="004C2BF8">
      <w:pPr>
        <w:pStyle w:val="Prrafodelista"/>
        <w:widowControl/>
        <w:numPr>
          <w:ilvl w:val="0"/>
          <w:numId w:val="15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documentación presentada debe ser LEGIBLE.</w:t>
      </w:r>
    </w:p>
    <w:p w14:paraId="2B9CDA93" w14:textId="77777777" w:rsidR="004C2BF8" w:rsidRPr="00167947" w:rsidRDefault="004C2BF8" w:rsidP="004C2BF8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3B7A0681" w14:textId="6C94A33F" w:rsidR="004C2BF8" w:rsidRPr="00167947" w:rsidRDefault="004C2BF8" w:rsidP="004C2BF8">
      <w:pPr>
        <w:pStyle w:val="Prrafodelista"/>
        <w:widowControl/>
        <w:numPr>
          <w:ilvl w:val="0"/>
          <w:numId w:val="15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orden de pago para solicitud de Registro de Productores deberá solicitarla en la 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Ventanilla</w:t>
      </w:r>
      <w:r w:rsidR="00DC7794"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</w:t>
      </w:r>
      <w:r w:rsidRPr="00167947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 la Dirección General de Energía.</w:t>
      </w:r>
    </w:p>
    <w:p w14:paraId="5358592E" w14:textId="77777777" w:rsidR="004C2BF8" w:rsidRPr="00167947" w:rsidRDefault="004C2BF8" w:rsidP="004C2BF8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7F621D23" w14:textId="77777777" w:rsidR="004C2BF8" w:rsidRPr="00167947" w:rsidRDefault="004C2BF8" w:rsidP="004C2BF8">
      <w:pPr>
        <w:pStyle w:val="Prrafodelista"/>
        <w:widowControl/>
        <w:numPr>
          <w:ilvl w:val="0"/>
          <w:numId w:val="15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El ingreso del expediente no implica la aprobación del registro requerido.</w:t>
      </w:r>
    </w:p>
    <w:p w14:paraId="7204C957" w14:textId="77777777" w:rsidR="004C2BF8" w:rsidRPr="00167947" w:rsidRDefault="004C2BF8" w:rsidP="004C2BF8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51C29F20" w14:textId="7F4E1090" w:rsidR="004C2BF8" w:rsidRPr="00167947" w:rsidRDefault="004C2BF8" w:rsidP="006D1664">
      <w:pPr>
        <w:pStyle w:val="Prrafodelista"/>
        <w:widowControl/>
        <w:numPr>
          <w:ilvl w:val="0"/>
          <w:numId w:val="15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167947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El único Departamento autorizado por la Dirección General de Energía, para proporcionar información sobre el estado de un expediente en trámite, es el Departamento de Gestión Legal.</w:t>
      </w:r>
    </w:p>
    <w:sectPr w:rsidR="004C2BF8" w:rsidRPr="00167947">
      <w:headerReference w:type="default" r:id="rId9"/>
      <w:footerReference w:type="default" r:id="rId10"/>
      <w:pgSz w:w="12240" w:h="1872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4BFE" w14:textId="77777777" w:rsidR="002D3834" w:rsidRDefault="002D3834">
      <w:r>
        <w:separator/>
      </w:r>
    </w:p>
  </w:endnote>
  <w:endnote w:type="continuationSeparator" w:id="0">
    <w:p w14:paraId="5A0E73BB" w14:textId="77777777" w:rsidR="002D3834" w:rsidRDefault="002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749" w14:textId="77777777" w:rsidR="00DE5805" w:rsidRDefault="00DE5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4D46" w14:textId="77777777" w:rsidR="002D3834" w:rsidRDefault="002D3834">
      <w:r>
        <w:separator/>
      </w:r>
    </w:p>
  </w:footnote>
  <w:footnote w:type="continuationSeparator" w:id="0">
    <w:p w14:paraId="26904C9B" w14:textId="77777777" w:rsidR="002D3834" w:rsidRDefault="002D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B85D" w14:textId="2FE9B893" w:rsidR="00DE5805" w:rsidRDefault="00BA0A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49"/>
      </w:tabs>
      <w:rPr>
        <w:color w:val="000000"/>
      </w:rPr>
    </w:pPr>
    <w:r>
      <w:rPr>
        <w:noProof/>
      </w:rPr>
      <w:drawing>
        <wp:inline distT="0" distB="0" distL="0" distR="0" wp14:anchorId="345ABE90" wp14:editId="184D6804">
          <wp:extent cx="2200275" cy="775970"/>
          <wp:effectExtent l="0" t="0" r="9525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EB3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190"/>
    <w:multiLevelType w:val="hybridMultilevel"/>
    <w:tmpl w:val="447A67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06C9"/>
    <w:multiLevelType w:val="hybridMultilevel"/>
    <w:tmpl w:val="B37C427E"/>
    <w:lvl w:ilvl="0" w:tplc="546C3A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5D82"/>
    <w:multiLevelType w:val="multilevel"/>
    <w:tmpl w:val="36ACE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4C99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2B2B4A3A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03A8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562B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6594"/>
    <w:multiLevelType w:val="multilevel"/>
    <w:tmpl w:val="43B87BE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9B7E15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56165419"/>
    <w:multiLevelType w:val="multilevel"/>
    <w:tmpl w:val="27402B0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C00000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C33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9310EC"/>
    <w:multiLevelType w:val="hybridMultilevel"/>
    <w:tmpl w:val="6016A4B8"/>
    <w:lvl w:ilvl="0" w:tplc="915CF6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EE32A6"/>
    <w:multiLevelType w:val="hybridMultilevel"/>
    <w:tmpl w:val="3000C6F0"/>
    <w:lvl w:ilvl="0" w:tplc="78E4477A">
      <w:start w:val="1"/>
      <w:numFmt w:val="decimal"/>
      <w:lvlText w:val="%1."/>
      <w:lvlJc w:val="left"/>
      <w:pPr>
        <w:ind w:left="2062" w:hanging="360"/>
      </w:pPr>
      <w:rPr>
        <w:b w:val="0"/>
        <w:bCs w:val="0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70EF3"/>
    <w:multiLevelType w:val="multilevel"/>
    <w:tmpl w:val="61A67C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C424B9"/>
    <w:multiLevelType w:val="hybridMultilevel"/>
    <w:tmpl w:val="7BB2C1B6"/>
    <w:lvl w:ilvl="0" w:tplc="0CF2E572">
      <w:start w:val="1"/>
      <w:numFmt w:val="decimal"/>
      <w:lvlText w:val="%1."/>
      <w:lvlJc w:val="left"/>
      <w:pPr>
        <w:ind w:left="216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C2972C6"/>
    <w:multiLevelType w:val="multilevel"/>
    <w:tmpl w:val="69B0E0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65D4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5"/>
    <w:rsid w:val="00000C7B"/>
    <w:rsid w:val="000074EA"/>
    <w:rsid w:val="00093798"/>
    <w:rsid w:val="000B7ED2"/>
    <w:rsid w:val="000C2D98"/>
    <w:rsid w:val="000D1446"/>
    <w:rsid w:val="000E0CE0"/>
    <w:rsid w:val="000E4368"/>
    <w:rsid w:val="000F73A8"/>
    <w:rsid w:val="00105635"/>
    <w:rsid w:val="00146E01"/>
    <w:rsid w:val="00167947"/>
    <w:rsid w:val="001B3414"/>
    <w:rsid w:val="001D180B"/>
    <w:rsid w:val="001D256D"/>
    <w:rsid w:val="001F3BA2"/>
    <w:rsid w:val="00224358"/>
    <w:rsid w:val="00234CA8"/>
    <w:rsid w:val="002377B6"/>
    <w:rsid w:val="00245BF0"/>
    <w:rsid w:val="00254150"/>
    <w:rsid w:val="002704C1"/>
    <w:rsid w:val="00277EA4"/>
    <w:rsid w:val="002817F6"/>
    <w:rsid w:val="002D3834"/>
    <w:rsid w:val="002D6624"/>
    <w:rsid w:val="002E479A"/>
    <w:rsid w:val="0030181A"/>
    <w:rsid w:val="00310E67"/>
    <w:rsid w:val="00331761"/>
    <w:rsid w:val="003431F1"/>
    <w:rsid w:val="003857CF"/>
    <w:rsid w:val="003A4D38"/>
    <w:rsid w:val="003A52FE"/>
    <w:rsid w:val="003E7B44"/>
    <w:rsid w:val="003F2D74"/>
    <w:rsid w:val="00401E9B"/>
    <w:rsid w:val="004156FC"/>
    <w:rsid w:val="004437B3"/>
    <w:rsid w:val="004C22A0"/>
    <w:rsid w:val="004C2BF8"/>
    <w:rsid w:val="004E4559"/>
    <w:rsid w:val="004F102D"/>
    <w:rsid w:val="004F1712"/>
    <w:rsid w:val="00511220"/>
    <w:rsid w:val="00525D19"/>
    <w:rsid w:val="005538D7"/>
    <w:rsid w:val="005636C1"/>
    <w:rsid w:val="005C2D40"/>
    <w:rsid w:val="005D04EE"/>
    <w:rsid w:val="005D0C90"/>
    <w:rsid w:val="005E260B"/>
    <w:rsid w:val="005F47CA"/>
    <w:rsid w:val="00604EEE"/>
    <w:rsid w:val="00627117"/>
    <w:rsid w:val="006501C3"/>
    <w:rsid w:val="00652096"/>
    <w:rsid w:val="00670DFC"/>
    <w:rsid w:val="00676DF3"/>
    <w:rsid w:val="00684BB9"/>
    <w:rsid w:val="006B0644"/>
    <w:rsid w:val="006D4E08"/>
    <w:rsid w:val="006E682D"/>
    <w:rsid w:val="00705872"/>
    <w:rsid w:val="00745D8C"/>
    <w:rsid w:val="00754BF1"/>
    <w:rsid w:val="00762C22"/>
    <w:rsid w:val="00764CB8"/>
    <w:rsid w:val="00774DE1"/>
    <w:rsid w:val="00783C6D"/>
    <w:rsid w:val="007865C9"/>
    <w:rsid w:val="00792228"/>
    <w:rsid w:val="007A01A3"/>
    <w:rsid w:val="007A5133"/>
    <w:rsid w:val="007B0ACB"/>
    <w:rsid w:val="007B69FE"/>
    <w:rsid w:val="007B748A"/>
    <w:rsid w:val="007C3C26"/>
    <w:rsid w:val="007F2FE7"/>
    <w:rsid w:val="00802594"/>
    <w:rsid w:val="00831710"/>
    <w:rsid w:val="00833FFE"/>
    <w:rsid w:val="00836983"/>
    <w:rsid w:val="00860BBC"/>
    <w:rsid w:val="00897137"/>
    <w:rsid w:val="008E020E"/>
    <w:rsid w:val="008E7398"/>
    <w:rsid w:val="00933FF3"/>
    <w:rsid w:val="00940387"/>
    <w:rsid w:val="00942D17"/>
    <w:rsid w:val="0094340F"/>
    <w:rsid w:val="00943AD5"/>
    <w:rsid w:val="00957404"/>
    <w:rsid w:val="00966394"/>
    <w:rsid w:val="00996456"/>
    <w:rsid w:val="009D0DAC"/>
    <w:rsid w:val="009D3667"/>
    <w:rsid w:val="009D4A7A"/>
    <w:rsid w:val="009F6A9B"/>
    <w:rsid w:val="00A04D5D"/>
    <w:rsid w:val="00A11E53"/>
    <w:rsid w:val="00A150C5"/>
    <w:rsid w:val="00A330A9"/>
    <w:rsid w:val="00A41A07"/>
    <w:rsid w:val="00A46695"/>
    <w:rsid w:val="00A536A7"/>
    <w:rsid w:val="00A61778"/>
    <w:rsid w:val="00A62704"/>
    <w:rsid w:val="00A72B7B"/>
    <w:rsid w:val="00AA2EC0"/>
    <w:rsid w:val="00AB1D8F"/>
    <w:rsid w:val="00AB5EA8"/>
    <w:rsid w:val="00AC6873"/>
    <w:rsid w:val="00AE6DC2"/>
    <w:rsid w:val="00B06E66"/>
    <w:rsid w:val="00B27041"/>
    <w:rsid w:val="00B34071"/>
    <w:rsid w:val="00B35968"/>
    <w:rsid w:val="00B47AFA"/>
    <w:rsid w:val="00BA0A18"/>
    <w:rsid w:val="00BA1396"/>
    <w:rsid w:val="00BB05BB"/>
    <w:rsid w:val="00BB116E"/>
    <w:rsid w:val="00BD5B32"/>
    <w:rsid w:val="00BF2AEA"/>
    <w:rsid w:val="00BF3ADC"/>
    <w:rsid w:val="00BF43B0"/>
    <w:rsid w:val="00BF700C"/>
    <w:rsid w:val="00C10753"/>
    <w:rsid w:val="00C177D2"/>
    <w:rsid w:val="00C270BF"/>
    <w:rsid w:val="00C50197"/>
    <w:rsid w:val="00C64854"/>
    <w:rsid w:val="00C90665"/>
    <w:rsid w:val="00CA40AF"/>
    <w:rsid w:val="00CF61E0"/>
    <w:rsid w:val="00D03310"/>
    <w:rsid w:val="00D16133"/>
    <w:rsid w:val="00D30DF2"/>
    <w:rsid w:val="00D32E9C"/>
    <w:rsid w:val="00D41E62"/>
    <w:rsid w:val="00D65C2E"/>
    <w:rsid w:val="00D730E8"/>
    <w:rsid w:val="00DC4D6F"/>
    <w:rsid w:val="00DC7794"/>
    <w:rsid w:val="00DD2DD3"/>
    <w:rsid w:val="00DD302D"/>
    <w:rsid w:val="00DD5EDE"/>
    <w:rsid w:val="00DE5805"/>
    <w:rsid w:val="00DF280C"/>
    <w:rsid w:val="00E01225"/>
    <w:rsid w:val="00E01AD0"/>
    <w:rsid w:val="00E03D0B"/>
    <w:rsid w:val="00E34E18"/>
    <w:rsid w:val="00E37ED1"/>
    <w:rsid w:val="00E4420C"/>
    <w:rsid w:val="00E44E9B"/>
    <w:rsid w:val="00E66D87"/>
    <w:rsid w:val="00E71DF8"/>
    <w:rsid w:val="00E735C1"/>
    <w:rsid w:val="00E82EB3"/>
    <w:rsid w:val="00EA313B"/>
    <w:rsid w:val="00EA429C"/>
    <w:rsid w:val="00EA44BC"/>
    <w:rsid w:val="00EB729C"/>
    <w:rsid w:val="00EC1BCE"/>
    <w:rsid w:val="00EF00D7"/>
    <w:rsid w:val="00EF143C"/>
    <w:rsid w:val="00EF79F2"/>
    <w:rsid w:val="00F07BC4"/>
    <w:rsid w:val="00F4007F"/>
    <w:rsid w:val="00F46707"/>
    <w:rsid w:val="00F46731"/>
    <w:rsid w:val="00F6620A"/>
    <w:rsid w:val="00F706D4"/>
    <w:rsid w:val="00F76F9F"/>
    <w:rsid w:val="00F77F99"/>
    <w:rsid w:val="00F84564"/>
    <w:rsid w:val="00FA0F92"/>
    <w:rsid w:val="00FD3AA1"/>
    <w:rsid w:val="00FD4887"/>
    <w:rsid w:val="00FD509D"/>
    <w:rsid w:val="00FD79D6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8FC22A9"/>
  <w15:docId w15:val="{AF89E019-FB48-4321-B67A-96F3DC7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G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C6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7F2E49"/>
    <w:pPr>
      <w:ind w:left="102"/>
      <w:outlineLvl w:val="0"/>
    </w:pPr>
    <w:rPr>
      <w:rFonts w:ascii="Calibri" w:eastAsia="Calibri" w:hAnsi="Calibri" w:cs="Calibri"/>
      <w:b/>
      <w:bCs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F2E49"/>
    <w:pPr>
      <w:spacing w:before="96"/>
      <w:ind w:left="692" w:right="715" w:firstLine="57"/>
      <w:jc w:val="both"/>
    </w:pPr>
    <w:rPr>
      <w:rFonts w:ascii="Calibri" w:eastAsia="Calibri" w:hAnsi="Calibri" w:cs="Calibri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3C07C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07C6"/>
  </w:style>
  <w:style w:type="paragraph" w:styleId="Prrafodelista">
    <w:name w:val="List Paragraph"/>
    <w:basedOn w:val="Normal"/>
    <w:uiPriority w:val="34"/>
    <w:qFormat/>
    <w:rsid w:val="00934A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4D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D6"/>
    <w:rPr>
      <w:rFonts w:ascii="Arial" w:eastAsia="Arial" w:hAnsi="Arial" w:cs="Arial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F2E49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F2E49"/>
    <w:rPr>
      <w:rFonts w:ascii="Calibri" w:eastAsia="Calibri" w:hAnsi="Calibri" w:cs="Calibri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F2E49"/>
    <w:pPr>
      <w:ind w:left="821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E49"/>
    <w:rPr>
      <w:rFonts w:ascii="Century Gothic" w:eastAsia="Century Gothic" w:hAnsi="Century Gothic" w:cs="Century Gothic"/>
      <w:lang w:val="es-ES"/>
    </w:rPr>
  </w:style>
  <w:style w:type="table" w:styleId="Tablaconcuadrcula">
    <w:name w:val="Table Grid"/>
    <w:basedOn w:val="Tablanormal"/>
    <w:uiPriority w:val="59"/>
    <w:rsid w:val="0068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61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96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F1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0PWk+Sm/or5qlK1G6p0N7BPAA==">CgMxLjAyCGguZ2pkZ3hzOAByITF2T3V6QVhSbU9Xckw4VkFZMktiMkdjLVBXa20zVzZ1Tw==</go:docsCustomData>
</go:gDocsCustomXmlDataStorage>
</file>

<file path=customXml/itemProps1.xml><?xml version="1.0" encoding="utf-8"?>
<ds:datastoreItem xmlns:ds="http://schemas.openxmlformats.org/officeDocument/2006/customXml" ds:itemID="{ED3CC098-874D-4C5D-9F5E-31EEEE008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Nathanael</dc:creator>
  <cp:lastModifiedBy>David Antonio Briones Morales</cp:lastModifiedBy>
  <cp:revision>51</cp:revision>
  <cp:lastPrinted>2023-09-07T19:04:00Z</cp:lastPrinted>
  <dcterms:created xsi:type="dcterms:W3CDTF">2023-10-18T18:37:00Z</dcterms:created>
  <dcterms:modified xsi:type="dcterms:W3CDTF">2024-01-30T18:04:00Z</dcterms:modified>
</cp:coreProperties>
</file>