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9542" w14:textId="77777777" w:rsidR="00392E07" w:rsidRDefault="00392E07" w:rsidP="004350DA">
      <w:pPr>
        <w:pStyle w:val="Ttulo"/>
        <w:spacing w:before="0"/>
        <w:ind w:left="0" w:firstLine="0"/>
        <w:jc w:val="center"/>
        <w:rPr>
          <w:rFonts w:ascii="Montserrat Light" w:eastAsia="Titillium Lt" w:hAnsi="Montserrat Light" w:cs="Titillium Lt"/>
          <w:color w:val="002060"/>
          <w:sz w:val="28"/>
          <w:szCs w:val="30"/>
          <w:lang w:val="es-GT"/>
        </w:rPr>
      </w:pPr>
    </w:p>
    <w:p w14:paraId="4E7494D6" w14:textId="2BE1DBD7" w:rsidR="00093798" w:rsidRPr="004763DF" w:rsidRDefault="00105635" w:rsidP="004350DA">
      <w:pPr>
        <w:pStyle w:val="Ttulo"/>
        <w:spacing w:before="0"/>
        <w:ind w:left="0" w:firstLine="0"/>
        <w:jc w:val="center"/>
        <w:rPr>
          <w:rFonts w:ascii="Montserrat Light" w:eastAsia="Titillium Lt" w:hAnsi="Montserrat Light" w:cs="Titillium Lt"/>
          <w:color w:val="002060"/>
          <w:sz w:val="28"/>
          <w:szCs w:val="30"/>
          <w:lang w:val="es-GT"/>
        </w:rPr>
      </w:pPr>
      <w:r w:rsidRPr="004763DF">
        <w:rPr>
          <w:rFonts w:ascii="Montserrat Light" w:eastAsia="Titillium Lt" w:hAnsi="Montserrat Light" w:cs="Titillium Lt"/>
          <w:color w:val="002060"/>
          <w:sz w:val="28"/>
          <w:szCs w:val="30"/>
          <w:lang w:val="es-GT"/>
        </w:rPr>
        <w:t xml:space="preserve">INSTRUCTIVO PARA </w:t>
      </w:r>
      <w:r w:rsidR="00240BB4" w:rsidRPr="004763DF">
        <w:rPr>
          <w:rFonts w:ascii="Montserrat Light" w:eastAsia="Titillium Lt" w:hAnsi="Montserrat Light" w:cs="Titillium Lt"/>
          <w:color w:val="002060"/>
          <w:sz w:val="28"/>
          <w:szCs w:val="30"/>
          <w:lang w:val="es-GT"/>
        </w:rPr>
        <w:t xml:space="preserve">LICENCIA DE </w:t>
      </w:r>
      <w:r w:rsidR="003A1EED" w:rsidRPr="004763DF">
        <w:rPr>
          <w:rFonts w:ascii="Montserrat Light" w:eastAsia="Titillium Lt" w:hAnsi="Montserrat Light" w:cs="Titillium Lt"/>
          <w:color w:val="002060"/>
          <w:sz w:val="28"/>
          <w:szCs w:val="30"/>
          <w:lang w:val="es-GT"/>
        </w:rPr>
        <w:t>IMPORTACIÓN</w:t>
      </w:r>
      <w:r w:rsidR="00240BB4" w:rsidRPr="004763DF">
        <w:rPr>
          <w:rFonts w:ascii="Montserrat Light" w:eastAsia="Titillium Lt" w:hAnsi="Montserrat Light" w:cs="Titillium Lt"/>
          <w:color w:val="002060"/>
          <w:sz w:val="28"/>
          <w:szCs w:val="30"/>
          <w:lang w:val="es-GT"/>
        </w:rPr>
        <w:t xml:space="preserve"> Y ABASTECIMIENTO AL MERCADO LOCAL </w:t>
      </w:r>
      <w:r w:rsidR="004F1712" w:rsidRPr="004763DF">
        <w:rPr>
          <w:rFonts w:ascii="Montserrat Light" w:eastAsia="Titillium Lt" w:hAnsi="Montserrat Light" w:cs="Titillium Lt"/>
          <w:color w:val="002060"/>
          <w:sz w:val="28"/>
          <w:szCs w:val="30"/>
          <w:lang w:val="es-GT"/>
        </w:rPr>
        <w:t>DE ALCOHOL CARBURANTE</w:t>
      </w:r>
    </w:p>
    <w:p w14:paraId="154F889B" w14:textId="77777777" w:rsidR="004350DA" w:rsidRPr="004763DF" w:rsidRDefault="004350DA" w:rsidP="004350DA">
      <w:pPr>
        <w:pStyle w:val="Ttulo"/>
        <w:spacing w:before="0"/>
        <w:ind w:left="0" w:firstLine="0"/>
        <w:jc w:val="left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</w:p>
    <w:p w14:paraId="0907554A" w14:textId="61FF2C33" w:rsidR="00DE5805" w:rsidRPr="004763DF" w:rsidRDefault="00E82EB3" w:rsidP="004350DA">
      <w:pPr>
        <w:pStyle w:val="Ttulo"/>
        <w:spacing w:before="0"/>
        <w:ind w:left="0" w:firstLine="0"/>
        <w:jc w:val="left"/>
        <w:rPr>
          <w:rFonts w:ascii="Montserrat Light" w:eastAsia="Titillium Lt" w:hAnsi="Montserrat Light" w:cs="Titillium Lt"/>
          <w:color w:val="002060"/>
          <w:sz w:val="24"/>
          <w:szCs w:val="24"/>
          <w:lang w:val="es-GT"/>
        </w:rPr>
      </w:pPr>
      <w:r w:rsidRPr="004763DF">
        <w:rPr>
          <w:rFonts w:ascii="Montserrat Light" w:eastAsia="Titillium Lt" w:hAnsi="Montserrat Light" w:cs="Titillium Lt"/>
          <w:color w:val="002060"/>
          <w:sz w:val="24"/>
          <w:szCs w:val="24"/>
          <w:lang w:val="es-GT"/>
        </w:rPr>
        <w:t>Descripción del trámite:</w:t>
      </w:r>
    </w:p>
    <w:p w14:paraId="65A560F2" w14:textId="7FA6A643" w:rsidR="00DE5805" w:rsidRPr="004763DF" w:rsidRDefault="005271A1" w:rsidP="00754BF1">
      <w:pPr>
        <w:tabs>
          <w:tab w:val="left" w:pos="1134"/>
        </w:tabs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</w:pPr>
      <w:r w:rsidRPr="004763DF">
        <w:rPr>
          <w:rFonts w:ascii="Montserrat Light" w:eastAsia="Titillium Lt" w:hAnsi="Montserrat Light" w:cs="Titillium Lt"/>
          <w:noProof/>
          <w:color w:val="002060"/>
          <w:sz w:val="20"/>
          <w:szCs w:val="20"/>
          <w:lang w:val="es-GT"/>
        </w:rPr>
        <w:t xml:space="preserve">La licencia es emitida por el Ministerio de Energía y Minas a través </w:t>
      </w:r>
      <w:r w:rsidR="002910F1" w:rsidRPr="004763DF">
        <w:rPr>
          <w:rFonts w:ascii="Montserrat Light" w:eastAsia="Titillium Lt" w:hAnsi="Montserrat Light" w:cs="Titillium Lt"/>
          <w:noProof/>
          <w:color w:val="002060"/>
          <w:sz w:val="20"/>
          <w:szCs w:val="20"/>
          <w:lang w:val="es-GT"/>
        </w:rPr>
        <w:t xml:space="preserve">de la Dirección General de Energía </w:t>
      </w:r>
      <w:r w:rsidRPr="004763DF">
        <w:rPr>
          <w:rFonts w:ascii="Montserrat Light" w:eastAsia="Titillium Lt" w:hAnsi="Montserrat Light" w:cs="Titillium Lt"/>
          <w:noProof/>
          <w:color w:val="002060"/>
          <w:sz w:val="20"/>
          <w:szCs w:val="20"/>
          <w:lang w:val="es-GT"/>
        </w:rPr>
        <w:t>a Distribuido</w:t>
      </w:r>
      <w:r w:rsidR="004350DA" w:rsidRPr="004763DF">
        <w:rPr>
          <w:rFonts w:ascii="Montserrat Light" w:eastAsia="Titillium Lt" w:hAnsi="Montserrat Light" w:cs="Titillium Lt"/>
          <w:noProof/>
          <w:color w:val="002060"/>
          <w:sz w:val="20"/>
          <w:szCs w:val="20"/>
          <w:lang w:val="es-GT"/>
        </w:rPr>
        <w:t>res</w:t>
      </w:r>
      <w:r w:rsidRPr="004763DF">
        <w:rPr>
          <w:rFonts w:ascii="Montserrat Light" w:eastAsia="Titillium Lt" w:hAnsi="Montserrat Light" w:cs="Titillium Lt"/>
          <w:noProof/>
          <w:color w:val="002060"/>
          <w:sz w:val="20"/>
          <w:szCs w:val="20"/>
          <w:lang w:val="es-GT"/>
        </w:rPr>
        <w:t xml:space="preserve"> Registrad</w:t>
      </w:r>
      <w:r w:rsidR="004350DA" w:rsidRPr="004763DF">
        <w:rPr>
          <w:rFonts w:ascii="Montserrat Light" w:eastAsia="Titillium Lt" w:hAnsi="Montserrat Light" w:cs="Titillium Lt"/>
          <w:noProof/>
          <w:color w:val="002060"/>
          <w:sz w:val="20"/>
          <w:szCs w:val="20"/>
          <w:lang w:val="es-GT"/>
        </w:rPr>
        <w:t>o</w:t>
      </w:r>
      <w:r w:rsidRPr="004763DF">
        <w:rPr>
          <w:rFonts w:ascii="Montserrat Light" w:eastAsia="Titillium Lt" w:hAnsi="Montserrat Light" w:cs="Titillium Lt"/>
          <w:noProof/>
          <w:color w:val="002060"/>
          <w:sz w:val="20"/>
          <w:szCs w:val="20"/>
          <w:lang w:val="es-GT"/>
        </w:rPr>
        <w:t>s</w:t>
      </w:r>
      <w:r w:rsidR="004350DA" w:rsidRPr="004763DF">
        <w:rPr>
          <w:rFonts w:ascii="Montserrat Light" w:eastAsia="Titillium Lt" w:hAnsi="Montserrat Light" w:cs="Titillium Lt"/>
          <w:noProof/>
          <w:color w:val="002060"/>
          <w:sz w:val="20"/>
          <w:szCs w:val="20"/>
          <w:lang w:val="es-GT"/>
        </w:rPr>
        <w:t xml:space="preserve">.  </w:t>
      </w:r>
      <w:r w:rsidRPr="004763DF">
        <w:rPr>
          <w:rFonts w:ascii="Montserrat Light" w:eastAsia="Titillium Lt" w:hAnsi="Montserrat Light" w:cs="Titillium Lt"/>
          <w:noProof/>
          <w:color w:val="002060"/>
          <w:sz w:val="20"/>
          <w:szCs w:val="20"/>
          <w:lang w:val="es-GT"/>
        </w:rPr>
        <w:t>L</w:t>
      </w:r>
      <w:r w:rsidR="004350DA" w:rsidRPr="004763DF">
        <w:rPr>
          <w:rFonts w:ascii="Montserrat Light" w:eastAsia="Titillium Lt" w:hAnsi="Montserrat Light" w:cs="Titillium Lt"/>
          <w:noProof/>
          <w:color w:val="002060"/>
          <w:sz w:val="20"/>
          <w:szCs w:val="20"/>
          <w:lang w:val="es-GT"/>
        </w:rPr>
        <w:t>o</w:t>
      </w:r>
      <w:r w:rsidRPr="004763DF">
        <w:rPr>
          <w:rFonts w:ascii="Montserrat Light" w:eastAsia="Titillium Lt" w:hAnsi="Montserrat Light" w:cs="Titillium Lt"/>
          <w:noProof/>
          <w:color w:val="002060"/>
          <w:sz w:val="20"/>
          <w:szCs w:val="20"/>
          <w:lang w:val="es-GT"/>
        </w:rPr>
        <w:t>s distribuidor</w:t>
      </w:r>
      <w:r w:rsidR="004350DA" w:rsidRPr="004763DF">
        <w:rPr>
          <w:rFonts w:ascii="Montserrat Light" w:eastAsia="Titillium Lt" w:hAnsi="Montserrat Light" w:cs="Titillium Lt"/>
          <w:noProof/>
          <w:color w:val="002060"/>
          <w:sz w:val="20"/>
          <w:szCs w:val="20"/>
          <w:lang w:val="es-GT"/>
        </w:rPr>
        <w:t>e</w:t>
      </w:r>
      <w:r w:rsidRPr="004763DF">
        <w:rPr>
          <w:rFonts w:ascii="Montserrat Light" w:eastAsia="Titillium Lt" w:hAnsi="Montserrat Light" w:cs="Titillium Lt"/>
          <w:noProof/>
          <w:color w:val="002060"/>
          <w:sz w:val="20"/>
          <w:szCs w:val="20"/>
          <w:lang w:val="es-GT"/>
        </w:rPr>
        <w:t>s solicitan esta licencia basándose en el volumen en galones</w:t>
      </w:r>
      <w:r w:rsidR="002910F1" w:rsidRPr="004763DF">
        <w:rPr>
          <w:rFonts w:ascii="Montserrat Light" w:eastAsia="Titillium Lt" w:hAnsi="Montserrat Light" w:cs="Titillium Lt"/>
          <w:noProof/>
          <w:color w:val="002060"/>
          <w:sz w:val="20"/>
          <w:szCs w:val="20"/>
          <w:lang w:val="es-GT"/>
        </w:rPr>
        <w:t xml:space="preserve"> que importarán. </w:t>
      </w:r>
      <w:r w:rsidRPr="004763DF">
        <w:rPr>
          <w:rFonts w:ascii="Montserrat Light" w:eastAsia="Titillium Lt" w:hAnsi="Montserrat Light" w:cs="Titillium Lt"/>
          <w:noProof/>
          <w:color w:val="002060"/>
          <w:sz w:val="20"/>
          <w:szCs w:val="20"/>
          <w:lang w:val="es-GT"/>
        </w:rPr>
        <w:t xml:space="preserve"> </w:t>
      </w:r>
    </w:p>
    <w:p w14:paraId="148517FB" w14:textId="564BB43A" w:rsidR="00DE5805" w:rsidRPr="004763DF" w:rsidRDefault="00563757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  <w:r w:rsidRPr="004763DF">
        <w:rPr>
          <w:rFonts w:ascii="Montserrat Light" w:hAnsi="Montserrat Light"/>
          <w:noProof/>
          <w:lang w:val="es-G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257422B" wp14:editId="3E1FEB68">
                <wp:simplePos x="0" y="0"/>
                <wp:positionH relativeFrom="margin">
                  <wp:posOffset>3200400</wp:posOffset>
                </wp:positionH>
                <wp:positionV relativeFrom="paragraph">
                  <wp:posOffset>34290</wp:posOffset>
                </wp:positionV>
                <wp:extent cx="3136900" cy="1714500"/>
                <wp:effectExtent l="0" t="0" r="25400" b="1905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00206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6B7065" w14:textId="77777777" w:rsidR="00DE5805" w:rsidRPr="004350DA" w:rsidRDefault="00E82EB3" w:rsidP="004350DA">
                            <w:pPr>
                              <w:jc w:val="both"/>
                              <w:textDirection w:val="btLr"/>
                              <w:rPr>
                                <w:rFonts w:ascii="Montserrat Light" w:hAnsi="Montserrat Light"/>
                              </w:rPr>
                            </w:pPr>
                            <w:r w:rsidRPr="004350DA">
                              <w:rPr>
                                <w:rFonts w:ascii="Montserrat Light" w:eastAsia="Titillium Lt" w:hAnsi="Montserrat Light" w:cs="Titillium Lt"/>
                                <w:b/>
                                <w:color w:val="002060"/>
                              </w:rPr>
                              <w:t>Resultado del trámite:</w:t>
                            </w:r>
                          </w:p>
                          <w:p w14:paraId="4AC3862B" w14:textId="7CFDBF03" w:rsidR="00DE5805" w:rsidRPr="00DF2C09" w:rsidRDefault="00D10912" w:rsidP="004350DA">
                            <w:pPr>
                              <w:jc w:val="both"/>
                              <w:textDirection w:val="btLr"/>
                              <w:rPr>
                                <w:rFonts w:ascii="Montserrat Light" w:hAnsi="Montserrat Light"/>
                                <w:sz w:val="20"/>
                                <w:szCs w:val="20"/>
                              </w:rPr>
                            </w:pPr>
                            <w:r w:rsidRPr="00DF2C09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 xml:space="preserve">Licencia de </w:t>
                            </w:r>
                            <w:r w:rsidR="003042A3" w:rsidRPr="00DF2C09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>I</w:t>
                            </w:r>
                            <w:r w:rsidR="00AC5D5B" w:rsidRPr="00DF2C09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>mportación</w:t>
                            </w:r>
                            <w:r w:rsidRPr="00DF2C09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 xml:space="preserve"> y </w:t>
                            </w:r>
                            <w:r w:rsidR="003042A3" w:rsidRPr="00DF2C09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>A</w:t>
                            </w:r>
                            <w:r w:rsidR="006C46B1" w:rsidRPr="00DF2C09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>bastecimiento</w:t>
                            </w:r>
                            <w:r w:rsidR="005270B6" w:rsidRPr="00DF2C09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 xml:space="preserve"> al Mercado Local</w:t>
                            </w:r>
                            <w:r w:rsidR="006C46B1" w:rsidRPr="00DF2C09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9FEF14B" w14:textId="77777777" w:rsidR="00DE5805" w:rsidRPr="00DF2C09" w:rsidRDefault="00DE5805" w:rsidP="004350DA">
                            <w:pPr>
                              <w:jc w:val="both"/>
                              <w:textDirection w:val="btLr"/>
                              <w:rPr>
                                <w:rFonts w:ascii="Montserrat Light" w:hAnsi="Montserrat Light"/>
                                <w:sz w:val="20"/>
                                <w:szCs w:val="20"/>
                              </w:rPr>
                            </w:pPr>
                          </w:p>
                          <w:p w14:paraId="547BA3A2" w14:textId="466D1FF7" w:rsidR="00DE5805" w:rsidRPr="004350DA" w:rsidRDefault="00E82EB3" w:rsidP="004350DA">
                            <w:pPr>
                              <w:jc w:val="both"/>
                              <w:textDirection w:val="btLr"/>
                              <w:rPr>
                                <w:rFonts w:ascii="Montserrat Light" w:eastAsia="Titillium Lt" w:hAnsi="Montserrat Light" w:cs="Titillium Lt"/>
                                <w:b/>
                                <w:color w:val="002060"/>
                              </w:rPr>
                            </w:pPr>
                            <w:r w:rsidRPr="004350DA">
                              <w:rPr>
                                <w:rFonts w:ascii="Montserrat Light" w:eastAsia="Titillium Lt" w:hAnsi="Montserrat Light" w:cs="Titillium Lt"/>
                                <w:b/>
                                <w:color w:val="002060"/>
                              </w:rPr>
                              <w:t>Costo del trámite:</w:t>
                            </w:r>
                          </w:p>
                          <w:p w14:paraId="3EBC3AD2" w14:textId="2A13B1BC" w:rsidR="005270B6" w:rsidRPr="00DF2C09" w:rsidRDefault="005270B6" w:rsidP="004350DA">
                            <w:pPr>
                              <w:jc w:val="both"/>
                              <w:textDirection w:val="btLr"/>
                              <w:rPr>
                                <w:rFonts w:ascii="Montserrat Light" w:hAnsi="Montserrat Light"/>
                                <w:bCs/>
                                <w:sz w:val="20"/>
                                <w:szCs w:val="20"/>
                              </w:rPr>
                            </w:pPr>
                            <w:r w:rsidRPr="00DF2C09">
                              <w:rPr>
                                <w:rFonts w:ascii="Montserrat Light" w:eastAsia="Titillium Lt" w:hAnsi="Montserrat Light" w:cs="Titillium Lt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Según </w:t>
                            </w:r>
                            <w:r w:rsidR="00414900" w:rsidRPr="00DF2C09">
                              <w:rPr>
                                <w:rFonts w:ascii="Montserrat Light" w:eastAsia="Titillium Lt" w:hAnsi="Montserrat Light" w:cs="Titillium Lt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artículo</w:t>
                            </w:r>
                            <w:r w:rsidRPr="00DF2C09">
                              <w:rPr>
                                <w:rFonts w:ascii="Montserrat Light" w:eastAsia="Titillium Lt" w:hAnsi="Montserrat Light" w:cs="Titillium Lt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9 “Arancel” del acuerdo Gubernativo Número 159-2023, Reglamento General de la Ley del Alcohol Carburante.</w:t>
                            </w:r>
                          </w:p>
                          <w:p w14:paraId="637033F9" w14:textId="63E6674B" w:rsidR="00943AD5" w:rsidRPr="00DF2C09" w:rsidRDefault="00943AD5">
                            <w:pPr>
                              <w:textDirection w:val="btLr"/>
                              <w:rPr>
                                <w:rFonts w:ascii="Montserrat Light" w:hAnsi="Montserrat Light"/>
                                <w:bCs/>
                              </w:rPr>
                            </w:pPr>
                          </w:p>
                          <w:p w14:paraId="37D024CE" w14:textId="77777777" w:rsidR="00DE5805" w:rsidRDefault="00DE5805">
                            <w:pPr>
                              <w:textDirection w:val="btLr"/>
                            </w:pPr>
                          </w:p>
                          <w:p w14:paraId="4AE173EF" w14:textId="0869A573" w:rsidR="00DE5805" w:rsidRDefault="00DE580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7422B" id="Rectángulo: esquinas redondeadas 14" o:spid="_x0000_s1026" style="position:absolute;margin-left:252pt;margin-top:2.7pt;width:247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" fillcolor="white [3201]" strokecolor="#002060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0E6B7065" w14:textId="77777777" w:rsidR="00DE5805" w:rsidRPr="004350DA" w:rsidRDefault="00E82EB3" w:rsidP="004350DA">
                      <w:pPr>
                        <w:jc w:val="both"/>
                        <w:textDirection w:val="btLr"/>
                        <w:rPr>
                          <w:rFonts w:ascii="Montserrat Light" w:hAnsi="Montserrat Light"/>
                        </w:rPr>
                      </w:pPr>
                      <w:r w:rsidRPr="004350DA">
                        <w:rPr>
                          <w:rFonts w:ascii="Montserrat Light" w:eastAsia="Titillium Lt" w:hAnsi="Montserrat Light" w:cs="Titillium Lt"/>
                          <w:b/>
                          <w:color w:val="002060"/>
                        </w:rPr>
                        <w:t>Resultado del trámite:</w:t>
                      </w:r>
                    </w:p>
                    <w:p w14:paraId="4AC3862B" w14:textId="7CFDBF03" w:rsidR="00DE5805" w:rsidRPr="00DF2C09" w:rsidRDefault="00D10912" w:rsidP="004350DA">
                      <w:pPr>
                        <w:jc w:val="both"/>
                        <w:textDirection w:val="btLr"/>
                        <w:rPr>
                          <w:rFonts w:ascii="Montserrat Light" w:hAnsi="Montserrat Light"/>
                          <w:sz w:val="20"/>
                          <w:szCs w:val="20"/>
                        </w:rPr>
                      </w:pPr>
                      <w:r w:rsidRPr="00DF2C09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 xml:space="preserve">Licencia de </w:t>
                      </w:r>
                      <w:r w:rsidR="003042A3" w:rsidRPr="00DF2C09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>I</w:t>
                      </w:r>
                      <w:r w:rsidR="00AC5D5B" w:rsidRPr="00DF2C09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>mportación</w:t>
                      </w:r>
                      <w:r w:rsidRPr="00DF2C09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 xml:space="preserve"> y </w:t>
                      </w:r>
                      <w:r w:rsidR="003042A3" w:rsidRPr="00DF2C09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>A</w:t>
                      </w:r>
                      <w:r w:rsidR="006C46B1" w:rsidRPr="00DF2C09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>bastecimiento</w:t>
                      </w:r>
                      <w:r w:rsidR="005270B6" w:rsidRPr="00DF2C09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 xml:space="preserve"> al Mercado Local</w:t>
                      </w:r>
                      <w:r w:rsidR="006C46B1" w:rsidRPr="00DF2C09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>.</w:t>
                      </w:r>
                    </w:p>
                    <w:p w14:paraId="49FEF14B" w14:textId="77777777" w:rsidR="00DE5805" w:rsidRPr="00DF2C09" w:rsidRDefault="00DE5805" w:rsidP="004350DA">
                      <w:pPr>
                        <w:jc w:val="both"/>
                        <w:textDirection w:val="btLr"/>
                        <w:rPr>
                          <w:rFonts w:ascii="Montserrat Light" w:hAnsi="Montserrat Light"/>
                          <w:sz w:val="20"/>
                          <w:szCs w:val="20"/>
                        </w:rPr>
                      </w:pPr>
                    </w:p>
                    <w:p w14:paraId="547BA3A2" w14:textId="466D1FF7" w:rsidR="00DE5805" w:rsidRPr="004350DA" w:rsidRDefault="00E82EB3" w:rsidP="004350DA">
                      <w:pPr>
                        <w:jc w:val="both"/>
                        <w:textDirection w:val="btLr"/>
                        <w:rPr>
                          <w:rFonts w:ascii="Montserrat Light" w:eastAsia="Titillium Lt" w:hAnsi="Montserrat Light" w:cs="Titillium Lt"/>
                          <w:b/>
                          <w:color w:val="002060"/>
                        </w:rPr>
                      </w:pPr>
                      <w:r w:rsidRPr="004350DA">
                        <w:rPr>
                          <w:rFonts w:ascii="Montserrat Light" w:eastAsia="Titillium Lt" w:hAnsi="Montserrat Light" w:cs="Titillium Lt"/>
                          <w:b/>
                          <w:color w:val="002060"/>
                        </w:rPr>
                        <w:t>Costo del trámite:</w:t>
                      </w:r>
                    </w:p>
                    <w:p w14:paraId="3EBC3AD2" w14:textId="2A13B1BC" w:rsidR="005270B6" w:rsidRPr="00DF2C09" w:rsidRDefault="005270B6" w:rsidP="004350DA">
                      <w:pPr>
                        <w:jc w:val="both"/>
                        <w:textDirection w:val="btLr"/>
                        <w:rPr>
                          <w:rFonts w:ascii="Montserrat Light" w:hAnsi="Montserrat Light"/>
                          <w:bCs/>
                          <w:sz w:val="20"/>
                          <w:szCs w:val="20"/>
                        </w:rPr>
                      </w:pPr>
                      <w:r w:rsidRPr="00DF2C09">
                        <w:rPr>
                          <w:rFonts w:ascii="Montserrat Light" w:eastAsia="Titillium Lt" w:hAnsi="Montserrat Light" w:cs="Titillium Lt"/>
                          <w:bCs/>
                          <w:color w:val="002060"/>
                          <w:sz w:val="20"/>
                          <w:szCs w:val="20"/>
                        </w:rPr>
                        <w:t xml:space="preserve">Según </w:t>
                      </w:r>
                      <w:r w:rsidR="00414900" w:rsidRPr="00DF2C09">
                        <w:rPr>
                          <w:rFonts w:ascii="Montserrat Light" w:eastAsia="Titillium Lt" w:hAnsi="Montserrat Light" w:cs="Titillium Lt"/>
                          <w:bCs/>
                          <w:color w:val="002060"/>
                          <w:sz w:val="20"/>
                          <w:szCs w:val="20"/>
                        </w:rPr>
                        <w:t>artículo</w:t>
                      </w:r>
                      <w:r w:rsidRPr="00DF2C09">
                        <w:rPr>
                          <w:rFonts w:ascii="Montserrat Light" w:eastAsia="Titillium Lt" w:hAnsi="Montserrat Light" w:cs="Titillium Lt"/>
                          <w:bCs/>
                          <w:color w:val="002060"/>
                          <w:sz w:val="20"/>
                          <w:szCs w:val="20"/>
                        </w:rPr>
                        <w:t xml:space="preserve"> 9 “Arancel” del acuerdo Gubernativo Número 159-2023, Reglamento General de la Ley del Alcohol Carburante.</w:t>
                      </w:r>
                    </w:p>
                    <w:p w14:paraId="637033F9" w14:textId="63E6674B" w:rsidR="00943AD5" w:rsidRPr="00DF2C09" w:rsidRDefault="00943AD5">
                      <w:pPr>
                        <w:textDirection w:val="btLr"/>
                        <w:rPr>
                          <w:rFonts w:ascii="Montserrat Light" w:hAnsi="Montserrat Light"/>
                          <w:bCs/>
                        </w:rPr>
                      </w:pPr>
                    </w:p>
                    <w:p w14:paraId="37D024CE" w14:textId="77777777" w:rsidR="00DE5805" w:rsidRDefault="00DE5805">
                      <w:pPr>
                        <w:textDirection w:val="btLr"/>
                      </w:pPr>
                    </w:p>
                    <w:p w14:paraId="4AE173EF" w14:textId="0869A573" w:rsidR="00DE5805" w:rsidRDefault="00DE5805">
                      <w:pPr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F5B985" w14:textId="7743FC73" w:rsidR="00DE5805" w:rsidRPr="004763DF" w:rsidRDefault="00DE5805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</w:p>
    <w:p w14:paraId="7DDB0C23" w14:textId="314DE8B1" w:rsidR="00DE5805" w:rsidRPr="004763DF" w:rsidRDefault="004350DA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  <w:r w:rsidRPr="004763DF">
        <w:rPr>
          <w:rFonts w:ascii="Montserrat Light" w:eastAsia="Titillium Lt" w:hAnsi="Montserrat Light" w:cs="Titillium Lt"/>
          <w:noProof/>
          <w:color w:val="002060"/>
          <w:sz w:val="20"/>
          <w:szCs w:val="20"/>
          <w:lang w:val="es-GT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40A16ECD" wp14:editId="290D0DAF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2971800" cy="1028700"/>
                <wp:effectExtent l="0" t="0" r="0" b="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028700"/>
                        </a:xfrm>
                        <a:prstGeom prst="roundRect">
                          <a:avLst>
                            <a:gd name="adj" fmla="val 5903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651406" w14:textId="77777777" w:rsidR="00DE5805" w:rsidRPr="00E2187E" w:rsidRDefault="00E82EB3">
                            <w:pPr>
                              <w:spacing w:before="96"/>
                              <w:ind w:right="715"/>
                              <w:textDirection w:val="btLr"/>
                              <w:rPr>
                                <w:rFonts w:ascii="Montserrat Light" w:hAnsi="Montserrat Light"/>
                              </w:rPr>
                            </w:pPr>
                            <w:r w:rsidRPr="00E2187E">
                              <w:rPr>
                                <w:rFonts w:ascii="Montserrat Light" w:eastAsia="Titillium Lt" w:hAnsi="Montserrat Light" w:cs="Titillium Lt"/>
                                <w:b/>
                                <w:color w:val="002060"/>
                              </w:rPr>
                              <w:t xml:space="preserve">Base Legal: </w:t>
                            </w:r>
                          </w:p>
                          <w:p w14:paraId="54BDDFFA" w14:textId="7292C0F7" w:rsidR="00DE5805" w:rsidRPr="004350DA" w:rsidRDefault="004F1712">
                            <w:pPr>
                              <w:jc w:val="both"/>
                              <w:textDirection w:val="btLr"/>
                              <w:rPr>
                                <w:rFonts w:ascii="Montserrat Light" w:hAnsi="Montserrat Light"/>
                                <w:sz w:val="20"/>
                                <w:szCs w:val="20"/>
                              </w:rPr>
                            </w:pPr>
                            <w:r w:rsidRPr="004350DA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 xml:space="preserve">Decreto Ley 17-85, Ley del Alcohol Carburante; Acuerdo Gubernativo Número 159-2023, </w:t>
                            </w:r>
                            <w:r w:rsidR="00F46707" w:rsidRPr="004350DA">
                              <w:rPr>
                                <w:rFonts w:ascii="Montserrat Light" w:eastAsia="Titillium Lt" w:hAnsi="Montserrat Light" w:cs="Titillium Lt"/>
                                <w:color w:val="002060"/>
                                <w:sz w:val="20"/>
                                <w:szCs w:val="20"/>
                              </w:rPr>
                              <w:t>Reglamento General de la Ley del Alcohol Carburante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16ECD" id="Rectángulo: esquinas redondeadas 13" o:spid="_x0000_s1027" style="position:absolute;margin-left:0;margin-top:.45pt;width:234pt;height:81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" fillcolor="white [3201]" stroked="f">
                <v:textbox inset="2.53958mm,1.2694mm,2.53958mm,1.2694mm">
                  <w:txbxContent>
                    <w:p w14:paraId="24651406" w14:textId="77777777" w:rsidR="00DE5805" w:rsidRPr="00E2187E" w:rsidRDefault="00E82EB3">
                      <w:pPr>
                        <w:spacing w:before="96"/>
                        <w:ind w:right="715"/>
                        <w:textDirection w:val="btLr"/>
                        <w:rPr>
                          <w:rFonts w:ascii="Montserrat Light" w:hAnsi="Montserrat Light"/>
                        </w:rPr>
                      </w:pPr>
                      <w:r w:rsidRPr="00E2187E">
                        <w:rPr>
                          <w:rFonts w:ascii="Montserrat Light" w:eastAsia="Titillium Lt" w:hAnsi="Montserrat Light" w:cs="Titillium Lt"/>
                          <w:b/>
                          <w:color w:val="002060"/>
                        </w:rPr>
                        <w:t xml:space="preserve">Base Legal: </w:t>
                      </w:r>
                    </w:p>
                    <w:p w14:paraId="54BDDFFA" w14:textId="7292C0F7" w:rsidR="00DE5805" w:rsidRPr="004350DA" w:rsidRDefault="004F1712">
                      <w:pPr>
                        <w:jc w:val="both"/>
                        <w:textDirection w:val="btLr"/>
                        <w:rPr>
                          <w:rFonts w:ascii="Montserrat Light" w:hAnsi="Montserrat Light"/>
                          <w:sz w:val="20"/>
                          <w:szCs w:val="20"/>
                        </w:rPr>
                      </w:pPr>
                      <w:r w:rsidRPr="004350DA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 xml:space="preserve">Decreto Ley 17-85, Ley del Alcohol Carburante; Acuerdo Gubernativo Número 159-2023, </w:t>
                      </w:r>
                      <w:r w:rsidR="00F46707" w:rsidRPr="004350DA">
                        <w:rPr>
                          <w:rFonts w:ascii="Montserrat Light" w:eastAsia="Titillium Lt" w:hAnsi="Montserrat Light" w:cs="Titillium Lt"/>
                          <w:color w:val="002060"/>
                          <w:sz w:val="20"/>
                          <w:szCs w:val="20"/>
                        </w:rPr>
                        <w:t>Reglamento General de la Ley del Alcohol Carburante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6D9F56" w14:textId="77777777" w:rsidR="00DE5805" w:rsidRPr="004763DF" w:rsidRDefault="00DE5805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</w:p>
    <w:p w14:paraId="23869391" w14:textId="77777777" w:rsidR="00DE5805" w:rsidRPr="004763DF" w:rsidRDefault="00DE5805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</w:p>
    <w:p w14:paraId="7CD7D5AC" w14:textId="77777777" w:rsidR="00DE5805" w:rsidRPr="004763DF" w:rsidRDefault="00DE5805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</w:p>
    <w:p w14:paraId="7F2D29EE" w14:textId="77777777" w:rsidR="00DE5805" w:rsidRPr="004763DF" w:rsidRDefault="00DE5805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</w:p>
    <w:p w14:paraId="02AE98CF" w14:textId="77777777" w:rsidR="00DE5805" w:rsidRPr="004763DF" w:rsidRDefault="00DE5805">
      <w:pPr>
        <w:rPr>
          <w:rFonts w:ascii="Montserrat Light" w:eastAsia="Titillium Lt" w:hAnsi="Montserrat Light" w:cs="Titillium Lt"/>
          <w:color w:val="002060"/>
          <w:sz w:val="24"/>
          <w:szCs w:val="24"/>
          <w:u w:val="single"/>
          <w:lang w:val="es-GT"/>
        </w:rPr>
      </w:pPr>
    </w:p>
    <w:p w14:paraId="7313E289" w14:textId="140202FF" w:rsidR="005D04EE" w:rsidRPr="004763DF" w:rsidRDefault="005D04EE">
      <w:pPr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u w:val="single"/>
          <w:lang w:val="es-GT"/>
        </w:rPr>
      </w:pPr>
    </w:p>
    <w:p w14:paraId="2C39A084" w14:textId="77777777" w:rsidR="00C323ED" w:rsidRPr="004763DF" w:rsidRDefault="00C323ED">
      <w:pPr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u w:val="single"/>
          <w:lang w:val="es-GT"/>
        </w:rPr>
      </w:pPr>
    </w:p>
    <w:p w14:paraId="73A4D9B7" w14:textId="77777777" w:rsidR="005D04EE" w:rsidRPr="004763DF" w:rsidRDefault="005D04EE">
      <w:pPr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u w:val="single"/>
          <w:lang w:val="es-GT"/>
        </w:rPr>
      </w:pPr>
    </w:p>
    <w:p w14:paraId="7F28EEB9" w14:textId="69581830" w:rsidR="00DE5805" w:rsidRPr="004763DF" w:rsidRDefault="00E82EB3">
      <w:pPr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u w:val="single"/>
          <w:lang w:val="es-GT"/>
        </w:rPr>
      </w:pPr>
      <w:r w:rsidRPr="004763DF">
        <w:rPr>
          <w:rFonts w:ascii="Montserrat Light" w:eastAsia="Titillium Lt" w:hAnsi="Montserrat Light" w:cs="Titillium Lt"/>
          <w:b/>
          <w:color w:val="002060"/>
          <w:sz w:val="24"/>
          <w:szCs w:val="24"/>
          <w:u w:val="single"/>
          <w:lang w:val="es-GT"/>
        </w:rPr>
        <w:t>Requisitos:</w:t>
      </w:r>
    </w:p>
    <w:p w14:paraId="20E10E4B" w14:textId="58E68139" w:rsidR="005270B6" w:rsidRPr="004763DF" w:rsidRDefault="005270B6" w:rsidP="005270B6">
      <w:pPr>
        <w:tabs>
          <w:tab w:val="left" w:pos="1134"/>
        </w:tabs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  <w:r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A continuación, se detallan los documentos que se deben presentar en la ventanilla</w:t>
      </w:r>
      <w:r w:rsidR="002910F1"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</w:t>
      </w:r>
      <w:r w:rsidR="000C4102"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de </w:t>
      </w:r>
      <w:r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la Dirección General de Energía -DGE-, todos los documentos a presentar deben estar vigentes a la fecha:</w:t>
      </w:r>
    </w:p>
    <w:p w14:paraId="2A175C7D" w14:textId="77777777" w:rsidR="00A94BCB" w:rsidRPr="004763DF" w:rsidRDefault="00A94BCB" w:rsidP="00A94BCB">
      <w:pPr>
        <w:pBdr>
          <w:top w:val="nil"/>
          <w:left w:val="nil"/>
          <w:bottom w:val="nil"/>
          <w:right w:val="nil"/>
          <w:between w:val="nil"/>
        </w:pBdr>
        <w:spacing w:before="21"/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</w:p>
    <w:p w14:paraId="6924B95D" w14:textId="4159C9C3" w:rsidR="00EE5861" w:rsidRDefault="00EE5861" w:rsidP="00A94BCB">
      <w:pPr>
        <w:pBdr>
          <w:top w:val="nil"/>
          <w:left w:val="nil"/>
          <w:bottom w:val="nil"/>
          <w:right w:val="nil"/>
          <w:between w:val="nil"/>
        </w:pBdr>
        <w:spacing w:before="21"/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</w:pPr>
      <w:r w:rsidRPr="004763DF"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  <w:t>Para</w:t>
      </w:r>
      <w:r w:rsidR="002910F1" w:rsidRPr="004763DF"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  <w:t xml:space="preserve"> </w:t>
      </w:r>
      <w:r w:rsidRPr="004763DF"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  <w:t>persona individual:</w:t>
      </w:r>
    </w:p>
    <w:p w14:paraId="2C9E0DF1" w14:textId="77777777" w:rsidR="00392E07" w:rsidRPr="004763DF" w:rsidRDefault="00392E07" w:rsidP="00A94BCB">
      <w:pPr>
        <w:pBdr>
          <w:top w:val="nil"/>
          <w:left w:val="nil"/>
          <w:bottom w:val="nil"/>
          <w:right w:val="nil"/>
          <w:between w:val="nil"/>
        </w:pBdr>
        <w:spacing w:before="21"/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</w:pPr>
    </w:p>
    <w:p w14:paraId="40E81DA5" w14:textId="4D22A7B4" w:rsidR="00EE5861" w:rsidRPr="004763DF" w:rsidRDefault="000C4102" w:rsidP="00A94BCB">
      <w:pPr>
        <w:pStyle w:val="Prrafodelista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  <w:r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Fotocopia del </w:t>
      </w:r>
      <w:r w:rsidR="00EE5861"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Documento de identificación personal del solicitante:</w:t>
      </w:r>
    </w:p>
    <w:p w14:paraId="0236D73D" w14:textId="77777777" w:rsidR="00EE5861" w:rsidRPr="004763DF" w:rsidRDefault="00EE5861" w:rsidP="00A94BCB">
      <w:pPr>
        <w:pStyle w:val="Prrafodelista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  <w:r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Para Nacionales: Documento Personal de Identificación vigente -DPI- (ambos lados).</w:t>
      </w:r>
    </w:p>
    <w:p w14:paraId="0CEBE8AD" w14:textId="77FF5F94" w:rsidR="00EE5861" w:rsidRPr="004763DF" w:rsidRDefault="00EE5861" w:rsidP="00A94BCB">
      <w:pPr>
        <w:pStyle w:val="Prrafodelista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  <w:r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Para Extranjeros: Pasaporte vigente</w:t>
      </w:r>
      <w:r w:rsidR="00A94BCB"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, </w:t>
      </w:r>
      <w:r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completo.</w:t>
      </w:r>
    </w:p>
    <w:p w14:paraId="0CA73DDC" w14:textId="77777777" w:rsidR="008D1DC8" w:rsidRPr="004763DF" w:rsidRDefault="008D1DC8" w:rsidP="008D1DC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  <w:bookmarkStart w:id="0" w:name="_Hlk148519392"/>
    </w:p>
    <w:p w14:paraId="74C20B70" w14:textId="77777777" w:rsidR="008D1DC8" w:rsidRPr="004763DF" w:rsidRDefault="000C4102" w:rsidP="008D1DC8">
      <w:pPr>
        <w:pStyle w:val="Prrafodelista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  <w:r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Fotocopia de la </w:t>
      </w:r>
      <w:bookmarkEnd w:id="0"/>
      <w:r w:rsidR="00EE5861"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Patente de Comercio de Empresa.</w:t>
      </w:r>
      <w:bookmarkStart w:id="1" w:name="_Hlk148519410"/>
    </w:p>
    <w:p w14:paraId="043E66C0" w14:textId="77777777" w:rsidR="008D1DC8" w:rsidRPr="004763DF" w:rsidRDefault="008D1DC8" w:rsidP="008D1DC8">
      <w:pPr>
        <w:pStyle w:val="Prrafodelista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</w:p>
    <w:p w14:paraId="24054B52" w14:textId="77777777" w:rsidR="008D1DC8" w:rsidRPr="004763DF" w:rsidRDefault="000C4102" w:rsidP="008D1DC8">
      <w:pPr>
        <w:pStyle w:val="Prrafodelista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  <w:r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Constancia </w:t>
      </w:r>
      <w:r w:rsidR="002910F1"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de</w:t>
      </w:r>
      <w:r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inscripción en el </w:t>
      </w:r>
      <w:r w:rsidR="002910F1"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R</w:t>
      </w:r>
      <w:r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egistro Tributario Unificado -RTU-, de la Superintendencia de Administración Tributaria.  </w:t>
      </w:r>
      <w:bookmarkStart w:id="2" w:name="_Hlk148519460"/>
      <w:bookmarkEnd w:id="1"/>
    </w:p>
    <w:p w14:paraId="7A2760C0" w14:textId="77777777" w:rsidR="008D1DC8" w:rsidRPr="004763DF" w:rsidRDefault="008D1DC8" w:rsidP="008D1DC8">
      <w:pPr>
        <w:pStyle w:val="Prrafodelista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6FBAF7A0" w14:textId="7E83FEB8" w:rsidR="000C4102" w:rsidRPr="004763DF" w:rsidRDefault="000C4102" w:rsidP="008D1DC8">
      <w:pPr>
        <w:pStyle w:val="Prrafodelista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  <w:r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Si el solicitante actúa en representación de otra persona, se debe adjuntar fotocopia del testimonio de la Escritura Pública que contiene </w:t>
      </w:r>
      <w:r w:rsidR="003A0B2E"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el mandato</w:t>
      </w:r>
      <w:r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especial con representación legal, debidamente razonado por los registros correspondientes.</w:t>
      </w:r>
    </w:p>
    <w:bookmarkEnd w:id="2"/>
    <w:p w14:paraId="6FD95DFD" w14:textId="77777777" w:rsidR="008D1DC8" w:rsidRPr="004763DF" w:rsidRDefault="008D1DC8" w:rsidP="008D1DC8">
      <w:pP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</w:p>
    <w:p w14:paraId="61E90022" w14:textId="376CE7A4" w:rsidR="00EE5861" w:rsidRDefault="00EE5861" w:rsidP="008D1DC8">
      <w:pPr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</w:pPr>
      <w:r w:rsidRPr="004763DF"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  <w:t>Para una persona jurídica:</w:t>
      </w:r>
    </w:p>
    <w:p w14:paraId="67FF47C8" w14:textId="77777777" w:rsidR="00392E07" w:rsidRPr="004763DF" w:rsidRDefault="00392E07" w:rsidP="008D1DC8">
      <w:pPr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</w:pPr>
    </w:p>
    <w:p w14:paraId="42B6FCC1" w14:textId="6B59FD95" w:rsidR="00EE5861" w:rsidRPr="004763DF" w:rsidRDefault="000C4102" w:rsidP="00C323ED">
      <w:pPr>
        <w:pStyle w:val="Prrafodelista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  <w:bookmarkStart w:id="3" w:name="_Hlk148518570"/>
      <w:r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Fotocopia del </w:t>
      </w:r>
      <w:bookmarkEnd w:id="3"/>
      <w:r w:rsidR="00EE5861"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Documento de identificación personal del representante legal:</w:t>
      </w:r>
    </w:p>
    <w:p w14:paraId="2C9E34EE" w14:textId="77777777" w:rsidR="00EE5861" w:rsidRPr="004763DF" w:rsidRDefault="00EE5861" w:rsidP="00C323ED">
      <w:pPr>
        <w:pStyle w:val="Prrafodelista"/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  <w:r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Para Nacionales: Documento Personal de Identificación vigente -DPI- (ambos lados)</w:t>
      </w:r>
    </w:p>
    <w:p w14:paraId="4C616B26" w14:textId="6B505AC0" w:rsidR="00EE5861" w:rsidRPr="004763DF" w:rsidRDefault="00EE5861" w:rsidP="00C323ED">
      <w:pPr>
        <w:pStyle w:val="Prrafodelista"/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  <w:r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Para Extranjeros: Pasaporte vigente y completo.</w:t>
      </w:r>
    </w:p>
    <w:p w14:paraId="39B57F3B" w14:textId="77777777" w:rsidR="00C323ED" w:rsidRPr="004763DF" w:rsidRDefault="00C323ED" w:rsidP="00C323E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</w:p>
    <w:p w14:paraId="5E1B1072" w14:textId="77777777" w:rsidR="00C323ED" w:rsidRPr="004763DF" w:rsidRDefault="00631604" w:rsidP="00C323ED">
      <w:pPr>
        <w:pStyle w:val="Prrafodelista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  <w:r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Fotocopia del Acta de </w:t>
      </w:r>
      <w:r w:rsidR="00EE5861"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Nombramiento Vigente del Representante Legal, razonado por los Registros que correspondan.</w:t>
      </w:r>
      <w:r w:rsidR="000C4102"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  </w:t>
      </w:r>
    </w:p>
    <w:p w14:paraId="39511ACE" w14:textId="77777777" w:rsidR="00C323ED" w:rsidRPr="004763DF" w:rsidRDefault="00C323ED" w:rsidP="00C323ED">
      <w:pPr>
        <w:pStyle w:val="Prrafodelista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</w:p>
    <w:p w14:paraId="400B9AC8" w14:textId="77777777" w:rsidR="00C323ED" w:rsidRPr="004763DF" w:rsidRDefault="009777BD" w:rsidP="00C323ED">
      <w:pPr>
        <w:pStyle w:val="Prrafodelista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  <w:r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Fotocopia del </w:t>
      </w:r>
      <w:r w:rsidR="000C4102"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Testimonio de la </w:t>
      </w:r>
      <w:r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E</w:t>
      </w:r>
      <w:r w:rsidR="000C4102"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scritura </w:t>
      </w:r>
      <w:r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P</w:t>
      </w:r>
      <w:r w:rsidR="000C4102"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ública de constitución de la sociedad con sus modificaciones si las hubiere, </w:t>
      </w:r>
      <w:r w:rsidR="00631604"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razonadas </w:t>
      </w:r>
      <w:r w:rsidR="002910F1"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por el</w:t>
      </w:r>
      <w:r w:rsidR="000C4102"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Registro Mercantil.</w:t>
      </w:r>
    </w:p>
    <w:p w14:paraId="183DB630" w14:textId="77777777" w:rsidR="00C323ED" w:rsidRPr="004763DF" w:rsidRDefault="00C323ED" w:rsidP="00C323ED">
      <w:pPr>
        <w:pStyle w:val="Prrafodelista"/>
        <w:rPr>
          <w:rFonts w:ascii="Montserrat Light" w:eastAsia="Titillium Lt" w:hAnsi="Montserrat Light" w:cs="Titillium Lt"/>
          <w:color w:val="984806" w:themeColor="accent6" w:themeShade="80"/>
          <w:sz w:val="20"/>
          <w:szCs w:val="20"/>
          <w:lang w:val="es-GT"/>
        </w:rPr>
      </w:pPr>
    </w:p>
    <w:p w14:paraId="37030060" w14:textId="77777777" w:rsidR="00C323ED" w:rsidRPr="004763DF" w:rsidRDefault="000C4102" w:rsidP="00C323ED">
      <w:pPr>
        <w:pStyle w:val="Prrafodelista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  <w:r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Fotocopia de la P</w:t>
      </w:r>
      <w:r w:rsidR="00EE5861"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atente de Comercio de Sociedad.</w:t>
      </w:r>
    </w:p>
    <w:p w14:paraId="0932305B" w14:textId="77777777" w:rsidR="00C323ED" w:rsidRPr="004763DF" w:rsidRDefault="00C323ED" w:rsidP="00C323ED">
      <w:pPr>
        <w:pStyle w:val="Prrafodelista"/>
        <w:rPr>
          <w:rFonts w:ascii="Montserrat Light" w:eastAsia="Titillium Lt" w:hAnsi="Montserrat Light" w:cs="Titillium Lt"/>
          <w:color w:val="984806" w:themeColor="accent6" w:themeShade="80"/>
          <w:sz w:val="20"/>
          <w:szCs w:val="20"/>
          <w:lang w:val="es-GT"/>
        </w:rPr>
      </w:pPr>
    </w:p>
    <w:p w14:paraId="06D6F468" w14:textId="77777777" w:rsidR="00C323ED" w:rsidRPr="004763DF" w:rsidRDefault="000C4102" w:rsidP="00C323ED">
      <w:pPr>
        <w:pStyle w:val="Prrafodelista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  <w:r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Fotocopia de la </w:t>
      </w:r>
      <w:r w:rsidR="00EE5861"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Patente de Comercio de Empresa.</w:t>
      </w:r>
      <w:r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</w:t>
      </w:r>
      <w:bookmarkStart w:id="4" w:name="_Hlk148519644"/>
    </w:p>
    <w:p w14:paraId="7F6AE9F5" w14:textId="77777777" w:rsidR="00C323ED" w:rsidRPr="004763DF" w:rsidRDefault="00C323ED" w:rsidP="00C323ED">
      <w:pPr>
        <w:pStyle w:val="Prrafodelista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</w:p>
    <w:p w14:paraId="6E036FC3" w14:textId="77777777" w:rsidR="00C323ED" w:rsidRPr="004763DF" w:rsidRDefault="000C4102" w:rsidP="00C323ED">
      <w:pPr>
        <w:pStyle w:val="Prrafodelista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  <w:r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Constancia de inscripción en el Registro Tributario Unificado -RTU-, de la Superintendencia de Administración Tributaria.  </w:t>
      </w:r>
    </w:p>
    <w:p w14:paraId="14E36DED" w14:textId="77777777" w:rsidR="00C323ED" w:rsidRPr="004763DF" w:rsidRDefault="00C323ED" w:rsidP="00C323ED">
      <w:pPr>
        <w:pStyle w:val="Prrafodelista"/>
        <w:rPr>
          <w:rFonts w:ascii="Montserrat Light" w:eastAsia="Titillium Lt" w:hAnsi="Montserrat Light" w:cs="Titillium Lt"/>
          <w:color w:val="984806" w:themeColor="accent6" w:themeShade="80"/>
          <w:sz w:val="20"/>
          <w:szCs w:val="20"/>
          <w:lang w:val="es-GT"/>
        </w:rPr>
      </w:pPr>
    </w:p>
    <w:p w14:paraId="7CB07B88" w14:textId="22B7534D" w:rsidR="00EE5861" w:rsidRPr="004763DF" w:rsidRDefault="00EE5861" w:rsidP="00C323ED">
      <w:pPr>
        <w:pStyle w:val="Prrafodelista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  <w:r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Certific</w:t>
      </w:r>
      <w:r w:rsidR="00631604"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ación </w:t>
      </w:r>
      <w:r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de la inscripción de la sociedad en el Registro Mercantil.</w:t>
      </w:r>
    </w:p>
    <w:bookmarkEnd w:id="4"/>
    <w:p w14:paraId="19800F1D" w14:textId="77777777" w:rsidR="00EE5861" w:rsidRPr="004763DF" w:rsidRDefault="00EE5861" w:rsidP="00631604">
      <w:pPr>
        <w:widowControl/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</w:pPr>
    </w:p>
    <w:p w14:paraId="3FA5E141" w14:textId="77777777" w:rsidR="00FF2878" w:rsidRDefault="00E82EB3" w:rsidP="001F1426">
      <w:pPr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</w:pPr>
      <w:r w:rsidRPr="004763DF"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  <w:t>Para ambas personerías, adjuntar los siguientes formularios y documentos:</w:t>
      </w:r>
    </w:p>
    <w:p w14:paraId="660DEBAE" w14:textId="15036E29" w:rsidR="001F1426" w:rsidRPr="004763DF" w:rsidRDefault="00E82EB3" w:rsidP="001F1426">
      <w:pPr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</w:pPr>
      <w:r w:rsidRPr="004763DF"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  <w:t xml:space="preserve">  </w:t>
      </w:r>
    </w:p>
    <w:p w14:paraId="2CBD75BC" w14:textId="77777777" w:rsidR="001F1426" w:rsidRPr="004763DF" w:rsidRDefault="00604EEE" w:rsidP="001F1426">
      <w:pPr>
        <w:pStyle w:val="Prrafodelista"/>
        <w:numPr>
          <w:ilvl w:val="0"/>
          <w:numId w:val="22"/>
        </w:numP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  <w:r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Formulario </w:t>
      </w:r>
      <w:r w:rsidR="00105635"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para solicitud </w:t>
      </w:r>
      <w:r w:rsidR="00D10912"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de licencia de </w:t>
      </w:r>
      <w:r w:rsidR="00AC5D5B"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importación</w:t>
      </w:r>
      <w:r w:rsidR="00D10912"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y abastecimiento al mercado local de</w:t>
      </w:r>
      <w:r w:rsidR="00105635"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 xml:space="preserve"> alcohol </w:t>
      </w:r>
      <w:r w:rsidR="001F1426" w:rsidRPr="004763DF">
        <w:rPr>
          <w:rFonts w:ascii="Montserrat Light" w:eastAsia="Titillium Lt" w:hAnsi="Montserrat Light" w:cs="Titillium Lt"/>
          <w:color w:val="002060"/>
          <w:sz w:val="20"/>
          <w:szCs w:val="20"/>
          <w:lang w:val="es-GT"/>
        </w:rPr>
        <w:t>carburante.</w:t>
      </w:r>
      <w:bookmarkStart w:id="5" w:name="_Hlk147136188"/>
    </w:p>
    <w:p w14:paraId="58AAA638" w14:textId="77777777" w:rsidR="001F1426" w:rsidRPr="004763DF" w:rsidRDefault="001F1426" w:rsidP="001F1426">
      <w:pPr>
        <w:pStyle w:val="Prrafodelista"/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</w:p>
    <w:p w14:paraId="538C9284" w14:textId="16E09F29" w:rsidR="00A32E1B" w:rsidRPr="004763DF" w:rsidRDefault="001B7C1D" w:rsidP="001F1426">
      <w:pPr>
        <w:pStyle w:val="Prrafodelista"/>
        <w:numPr>
          <w:ilvl w:val="0"/>
          <w:numId w:val="22"/>
        </w:numPr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  <w:r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En el caso de que la documentación</w:t>
      </w:r>
      <w:r w:rsidR="004E7B6A"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entregada </w:t>
      </w:r>
      <w:r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no presente inconveniente, </w:t>
      </w:r>
      <w:r w:rsidR="00B860D8"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la Dirección </w:t>
      </w:r>
      <w:r w:rsidR="00AD6B57"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General de Energía </w:t>
      </w:r>
      <w:r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notificará al usuario el monto a pagar, el cual se </w:t>
      </w:r>
      <w:r w:rsidR="005C62BC"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determinara con base en la cantidad de </w:t>
      </w:r>
      <w:r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galones de Alcohol Carburante </w:t>
      </w:r>
      <w:r w:rsidR="003253A0"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que se soliciten para la respectiva </w:t>
      </w:r>
      <w:r w:rsidR="00927DBD"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licencia, </w:t>
      </w:r>
      <w:r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y </w:t>
      </w:r>
      <w:r w:rsidR="003253A0"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este </w:t>
      </w:r>
      <w:r w:rsidR="005C62BC"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se calculará acorde al</w:t>
      </w:r>
      <w:r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salario mínimo mensual vigente para las actividades no agrícolas del área central</w:t>
      </w:r>
      <w:r w:rsidR="004B3DEB"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.</w:t>
      </w:r>
      <w:r w:rsidR="00927DBD"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Para un desglose detallado de los costos, el a</w:t>
      </w:r>
      <w:r w:rsidR="005C62BC"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rt</w:t>
      </w:r>
      <w:r w:rsidR="00927DBD"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í</w:t>
      </w:r>
      <w:r w:rsidR="005C62BC"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culo número 9 “Arancel” del Acuerdo Gubernativo Número 159-2023</w:t>
      </w:r>
      <w:r w:rsidR="00502B73"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</w:t>
      </w:r>
      <w:r w:rsidR="00927DBD"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incluye una tabla </w:t>
      </w:r>
      <w:r w:rsidR="0093445D"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de los costos aplicables a la emisión o ampliación de licencia anual </w:t>
      </w:r>
      <w:r w:rsidR="00927DBD"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donde se especifican los valores </w:t>
      </w:r>
      <w:r w:rsidR="0093445D"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para el cálculo</w:t>
      </w:r>
      <w:r w:rsidR="005C62BC"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.</w:t>
      </w:r>
    </w:p>
    <w:bookmarkEnd w:id="5"/>
    <w:p w14:paraId="65EB3F8A" w14:textId="77777777" w:rsidR="00B47AFA" w:rsidRPr="004763DF" w:rsidRDefault="00B47AFA">
      <w:pPr>
        <w:widowControl/>
        <w:jc w:val="both"/>
        <w:rPr>
          <w:rFonts w:ascii="Montserrat Light" w:eastAsia="Titillium Lt" w:hAnsi="Montserrat Light" w:cs="Titillium Lt"/>
          <w:b/>
          <w:color w:val="002060"/>
          <w:sz w:val="20"/>
          <w:szCs w:val="20"/>
          <w:lang w:val="es-GT"/>
        </w:rPr>
      </w:pPr>
    </w:p>
    <w:p w14:paraId="795B84D0" w14:textId="7CF4A895" w:rsidR="00B860D8" w:rsidRPr="004763DF" w:rsidRDefault="00B860D8">
      <w:pPr>
        <w:widowControl/>
        <w:jc w:val="both"/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</w:pPr>
      <w:r w:rsidRPr="004763DF"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  <w:t>G</w:t>
      </w:r>
      <w:r w:rsidR="00B0521B" w:rsidRPr="004763DF">
        <w:rPr>
          <w:rFonts w:ascii="Montserrat Light" w:eastAsia="Titillium Lt" w:hAnsi="Montserrat Light" w:cs="Titillium Lt"/>
          <w:b/>
          <w:color w:val="002060"/>
          <w:sz w:val="24"/>
          <w:szCs w:val="24"/>
          <w:lang w:val="es-GT"/>
        </w:rPr>
        <w:t>eneralidades:</w:t>
      </w:r>
    </w:p>
    <w:p w14:paraId="5AC1A3B3" w14:textId="77777777" w:rsidR="00B860D8" w:rsidRPr="004763DF" w:rsidRDefault="00B860D8">
      <w:pPr>
        <w:widowControl/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4426A959" w14:textId="614539F4" w:rsidR="008A3589" w:rsidRPr="004763DF" w:rsidRDefault="00943AD5" w:rsidP="00B26A82">
      <w:pPr>
        <w:pStyle w:val="Prrafodelista"/>
        <w:widowControl/>
        <w:numPr>
          <w:ilvl w:val="0"/>
          <w:numId w:val="23"/>
        </w:numP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Toda solicitud o gestión debe ser dirigida a</w:t>
      </w:r>
      <w:r w:rsidR="00B26A82"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</w:t>
      </w:r>
      <w:r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l</w:t>
      </w:r>
      <w:r w:rsidR="00B26A82"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a</w:t>
      </w:r>
      <w:r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 Direc</w:t>
      </w:r>
      <w:r w:rsidR="00B26A82"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ción </w:t>
      </w:r>
      <w:r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General de Energía.</w:t>
      </w:r>
    </w:p>
    <w:p w14:paraId="77FF7C88" w14:textId="03299A86" w:rsidR="00943AD5" w:rsidRPr="004763DF" w:rsidRDefault="00943AD5">
      <w:pPr>
        <w:widowControl/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6E19C76B" w14:textId="1F0025AB" w:rsidR="007A01A3" w:rsidRPr="004763DF" w:rsidRDefault="007A01A3" w:rsidP="00B26A82">
      <w:pPr>
        <w:pStyle w:val="Prrafodelista"/>
        <w:widowControl/>
        <w:numPr>
          <w:ilvl w:val="0"/>
          <w:numId w:val="23"/>
        </w:numP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La documentación presentada debe ser LEGIBLE.</w:t>
      </w:r>
    </w:p>
    <w:p w14:paraId="6B52C259" w14:textId="0CFC3F6D" w:rsidR="00E7482B" w:rsidRPr="004763DF" w:rsidRDefault="00E7482B">
      <w:pPr>
        <w:widowControl/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16DE4C1F" w14:textId="4B7D0A6F" w:rsidR="00E7482B" w:rsidRPr="004763DF" w:rsidRDefault="00B860D8" w:rsidP="00B26A82">
      <w:pPr>
        <w:pStyle w:val="Prrafodelista"/>
        <w:widowControl/>
        <w:numPr>
          <w:ilvl w:val="0"/>
          <w:numId w:val="23"/>
        </w:numP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C27E3C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El </w:t>
      </w:r>
      <w:r w:rsidR="00E7482B" w:rsidRPr="00C27E3C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solicitante de esta licencia debe estar inscrito previamente en el Registro de Distribuidor</w:t>
      </w:r>
      <w:r w:rsidR="00B26A82" w:rsidRPr="00C27E3C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e</w:t>
      </w:r>
      <w:r w:rsidR="00E7482B" w:rsidRPr="00C27E3C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s de Alcohol </w:t>
      </w:r>
      <w:r w:rsidR="00E7482B"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Carburante de la DGE. Además de poseer la </w:t>
      </w:r>
      <w:r w:rsidR="005270B6"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L</w:t>
      </w:r>
      <w:r w:rsidR="00E7482B"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icencia de Operación emitida por la Dirección General de Hidrocarburos Vigente.</w:t>
      </w:r>
    </w:p>
    <w:p w14:paraId="53C9411F" w14:textId="77777777" w:rsidR="00B860D8" w:rsidRPr="004763DF" w:rsidRDefault="00B860D8">
      <w:pPr>
        <w:widowControl/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5FACDA07" w14:textId="550E3487" w:rsidR="00B860D8" w:rsidRPr="004763DF" w:rsidRDefault="00B860D8" w:rsidP="00B26A82">
      <w:pPr>
        <w:pStyle w:val="Prrafodelista"/>
        <w:widowControl/>
        <w:numPr>
          <w:ilvl w:val="0"/>
          <w:numId w:val="23"/>
        </w:numP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bookmarkStart w:id="6" w:name="_Hlk148520010"/>
      <w:r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La orden de pago para solicitud de Licencia de Importación y Abastecimiento al Mercado Local deberá requerirla en </w:t>
      </w:r>
      <w:r w:rsidR="004763DF"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 xml:space="preserve">la </w:t>
      </w:r>
      <w:r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Ventanilla de la Dirección General de Energía y efectuar el pago según la modalidad implementada por la DGE.</w:t>
      </w:r>
    </w:p>
    <w:bookmarkEnd w:id="6"/>
    <w:p w14:paraId="280675FA" w14:textId="77777777" w:rsidR="004763DF" w:rsidRPr="004763DF" w:rsidRDefault="004763DF" w:rsidP="004763DF">
      <w:pPr>
        <w:pStyle w:val="Prrafodelista"/>
        <w:widowControl/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2943E628" w14:textId="15603CBA" w:rsidR="007A01A3" w:rsidRPr="004763DF" w:rsidRDefault="007A01A3" w:rsidP="00B26A82">
      <w:pPr>
        <w:pStyle w:val="Prrafodelista"/>
        <w:widowControl/>
        <w:numPr>
          <w:ilvl w:val="0"/>
          <w:numId w:val="23"/>
        </w:numP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El ingreso del expediente no implica la aprobación de la licencia requerida.</w:t>
      </w:r>
    </w:p>
    <w:p w14:paraId="5D9A0243" w14:textId="77777777" w:rsidR="007A01A3" w:rsidRPr="004763DF" w:rsidRDefault="007A01A3">
      <w:pPr>
        <w:widowControl/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</w:p>
    <w:p w14:paraId="1757FCB3" w14:textId="57B32E1E" w:rsidR="007A01A3" w:rsidRPr="004763DF" w:rsidRDefault="007A01A3" w:rsidP="00B26A82">
      <w:pPr>
        <w:pStyle w:val="Prrafodelista"/>
        <w:widowControl/>
        <w:numPr>
          <w:ilvl w:val="0"/>
          <w:numId w:val="23"/>
        </w:numPr>
        <w:jc w:val="both"/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</w:pPr>
      <w:r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E</w:t>
      </w:r>
      <w:r w:rsidR="000E0CE0" w:rsidRPr="004763DF">
        <w:rPr>
          <w:rFonts w:ascii="Montserrat Light" w:eastAsia="Titillium Lt" w:hAnsi="Montserrat Light" w:cs="Titillium Lt"/>
          <w:bCs/>
          <w:color w:val="002060"/>
          <w:sz w:val="20"/>
          <w:szCs w:val="20"/>
          <w:lang w:val="es-GT"/>
        </w:rPr>
        <w:t>l único Departamento autorizado por la DGE, para proporcionar información sobre el estado de un expediente en trámite, es el de Gestión Legal.</w:t>
      </w:r>
    </w:p>
    <w:p w14:paraId="76362CE5" w14:textId="77777777" w:rsidR="000E0CE0" w:rsidRPr="00DF2C09" w:rsidRDefault="000E0CE0">
      <w:pPr>
        <w:widowControl/>
        <w:jc w:val="both"/>
        <w:rPr>
          <w:rFonts w:ascii="Montserrat Light" w:eastAsia="Titillium Lt" w:hAnsi="Montserrat Light" w:cs="Titillium Lt"/>
          <w:bCs/>
          <w:color w:val="002060"/>
          <w:sz w:val="24"/>
          <w:szCs w:val="24"/>
          <w:lang w:val="es-GT"/>
        </w:rPr>
      </w:pPr>
    </w:p>
    <w:sectPr w:rsidR="000E0CE0" w:rsidRPr="00DF2C09">
      <w:headerReference w:type="default" r:id="rId9"/>
      <w:footerReference w:type="default" r:id="rId10"/>
      <w:pgSz w:w="12240" w:h="18720"/>
      <w:pgMar w:top="1440" w:right="1080" w:bottom="1440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5D008" w14:textId="77777777" w:rsidR="00A52E79" w:rsidRDefault="00A52E79">
      <w:r>
        <w:separator/>
      </w:r>
    </w:p>
  </w:endnote>
  <w:endnote w:type="continuationSeparator" w:id="0">
    <w:p w14:paraId="1C6B0332" w14:textId="77777777" w:rsidR="00A52E79" w:rsidRDefault="00A5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Titillium L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7749" w14:textId="77777777" w:rsidR="00DE5805" w:rsidRDefault="00DE58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7A4D3" w14:textId="77777777" w:rsidR="00A52E79" w:rsidRDefault="00A52E79">
      <w:r>
        <w:separator/>
      </w:r>
    </w:p>
  </w:footnote>
  <w:footnote w:type="continuationSeparator" w:id="0">
    <w:p w14:paraId="4D4EC8DE" w14:textId="77777777" w:rsidR="00A52E79" w:rsidRDefault="00A52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B85D" w14:textId="23E7FBFE" w:rsidR="00DE5805" w:rsidRDefault="00392E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749"/>
      </w:tabs>
      <w:rPr>
        <w:color w:val="000000"/>
      </w:rPr>
    </w:pPr>
    <w:r>
      <w:rPr>
        <w:noProof/>
      </w:rPr>
      <w:drawing>
        <wp:inline distT="0" distB="0" distL="0" distR="0" wp14:anchorId="15BB17FE" wp14:editId="45942126">
          <wp:extent cx="2200275" cy="775970"/>
          <wp:effectExtent l="0" t="0" r="9525" b="508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2EB3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5356"/>
    <w:multiLevelType w:val="hybridMultilevel"/>
    <w:tmpl w:val="99B8ADF8"/>
    <w:lvl w:ilvl="0" w:tplc="915CF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3300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10AD9"/>
    <w:multiLevelType w:val="hybridMultilevel"/>
    <w:tmpl w:val="8048B0D0"/>
    <w:lvl w:ilvl="0" w:tplc="6E0E9750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F06C9"/>
    <w:multiLevelType w:val="hybridMultilevel"/>
    <w:tmpl w:val="B37C427E"/>
    <w:lvl w:ilvl="0" w:tplc="546C3A2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65D82"/>
    <w:multiLevelType w:val="multilevel"/>
    <w:tmpl w:val="36ACE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D4C99"/>
    <w:multiLevelType w:val="hybridMultilevel"/>
    <w:tmpl w:val="E09C685A"/>
    <w:lvl w:ilvl="0" w:tplc="9ECA5D18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-360" w:hanging="360"/>
      </w:pPr>
    </w:lvl>
    <w:lvl w:ilvl="2" w:tplc="100A001B" w:tentative="1">
      <w:start w:val="1"/>
      <w:numFmt w:val="lowerRoman"/>
      <w:lvlText w:val="%3."/>
      <w:lvlJc w:val="right"/>
      <w:pPr>
        <w:ind w:left="360" w:hanging="180"/>
      </w:pPr>
    </w:lvl>
    <w:lvl w:ilvl="3" w:tplc="100A000F" w:tentative="1">
      <w:start w:val="1"/>
      <w:numFmt w:val="decimal"/>
      <w:lvlText w:val="%4."/>
      <w:lvlJc w:val="left"/>
      <w:pPr>
        <w:ind w:left="1080" w:hanging="360"/>
      </w:pPr>
    </w:lvl>
    <w:lvl w:ilvl="4" w:tplc="100A0019" w:tentative="1">
      <w:start w:val="1"/>
      <w:numFmt w:val="lowerLetter"/>
      <w:lvlText w:val="%5."/>
      <w:lvlJc w:val="left"/>
      <w:pPr>
        <w:ind w:left="1800" w:hanging="360"/>
      </w:pPr>
    </w:lvl>
    <w:lvl w:ilvl="5" w:tplc="100A001B" w:tentative="1">
      <w:start w:val="1"/>
      <w:numFmt w:val="lowerRoman"/>
      <w:lvlText w:val="%6."/>
      <w:lvlJc w:val="right"/>
      <w:pPr>
        <w:ind w:left="2520" w:hanging="180"/>
      </w:pPr>
    </w:lvl>
    <w:lvl w:ilvl="6" w:tplc="100A000F" w:tentative="1">
      <w:start w:val="1"/>
      <w:numFmt w:val="decimal"/>
      <w:lvlText w:val="%7."/>
      <w:lvlJc w:val="left"/>
      <w:pPr>
        <w:ind w:left="3240" w:hanging="360"/>
      </w:pPr>
    </w:lvl>
    <w:lvl w:ilvl="7" w:tplc="100A0019" w:tentative="1">
      <w:start w:val="1"/>
      <w:numFmt w:val="lowerLetter"/>
      <w:lvlText w:val="%8."/>
      <w:lvlJc w:val="left"/>
      <w:pPr>
        <w:ind w:left="3960" w:hanging="360"/>
      </w:pPr>
    </w:lvl>
    <w:lvl w:ilvl="8" w:tplc="100A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5" w15:restartNumberingAfterBreak="0">
    <w:nsid w:val="2B2B4A3A"/>
    <w:multiLevelType w:val="multilevel"/>
    <w:tmpl w:val="7C7AF27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C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color w:val="FF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A76D8"/>
    <w:multiLevelType w:val="hybridMultilevel"/>
    <w:tmpl w:val="137E38CE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7803A8"/>
    <w:multiLevelType w:val="hybridMultilevel"/>
    <w:tmpl w:val="CF5210B8"/>
    <w:lvl w:ilvl="0" w:tplc="9ECA5D18">
      <w:start w:val="1"/>
      <w:numFmt w:val="decimal"/>
      <w:lvlText w:val="%1."/>
      <w:lvlJc w:val="left"/>
      <w:pPr>
        <w:ind w:left="2160" w:hanging="360"/>
      </w:pPr>
      <w:rPr>
        <w:b w:val="0"/>
        <w:bCs/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1562B"/>
    <w:multiLevelType w:val="hybridMultilevel"/>
    <w:tmpl w:val="CF5210B8"/>
    <w:lvl w:ilvl="0" w:tplc="9ECA5D18">
      <w:start w:val="1"/>
      <w:numFmt w:val="decimal"/>
      <w:lvlText w:val="%1."/>
      <w:lvlJc w:val="left"/>
      <w:pPr>
        <w:ind w:left="2160" w:hanging="360"/>
      </w:pPr>
      <w:rPr>
        <w:b w:val="0"/>
        <w:bCs/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67E3C"/>
    <w:multiLevelType w:val="hybridMultilevel"/>
    <w:tmpl w:val="154EB6E4"/>
    <w:lvl w:ilvl="0" w:tplc="28A2398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C000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36594"/>
    <w:multiLevelType w:val="multilevel"/>
    <w:tmpl w:val="43B87BE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C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47D2DE3"/>
    <w:multiLevelType w:val="hybridMultilevel"/>
    <w:tmpl w:val="0DF85848"/>
    <w:lvl w:ilvl="0" w:tplc="1CDA560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C000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B7E15"/>
    <w:multiLevelType w:val="hybridMultilevel"/>
    <w:tmpl w:val="E09C685A"/>
    <w:lvl w:ilvl="0" w:tplc="9ECA5D18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-360" w:hanging="360"/>
      </w:pPr>
    </w:lvl>
    <w:lvl w:ilvl="2" w:tplc="100A001B" w:tentative="1">
      <w:start w:val="1"/>
      <w:numFmt w:val="lowerRoman"/>
      <w:lvlText w:val="%3."/>
      <w:lvlJc w:val="right"/>
      <w:pPr>
        <w:ind w:left="360" w:hanging="180"/>
      </w:pPr>
    </w:lvl>
    <w:lvl w:ilvl="3" w:tplc="100A000F" w:tentative="1">
      <w:start w:val="1"/>
      <w:numFmt w:val="decimal"/>
      <w:lvlText w:val="%4."/>
      <w:lvlJc w:val="left"/>
      <w:pPr>
        <w:ind w:left="1080" w:hanging="360"/>
      </w:pPr>
    </w:lvl>
    <w:lvl w:ilvl="4" w:tplc="100A0019" w:tentative="1">
      <w:start w:val="1"/>
      <w:numFmt w:val="lowerLetter"/>
      <w:lvlText w:val="%5."/>
      <w:lvlJc w:val="left"/>
      <w:pPr>
        <w:ind w:left="1800" w:hanging="360"/>
      </w:pPr>
    </w:lvl>
    <w:lvl w:ilvl="5" w:tplc="100A001B" w:tentative="1">
      <w:start w:val="1"/>
      <w:numFmt w:val="lowerRoman"/>
      <w:lvlText w:val="%6."/>
      <w:lvlJc w:val="right"/>
      <w:pPr>
        <w:ind w:left="2520" w:hanging="180"/>
      </w:pPr>
    </w:lvl>
    <w:lvl w:ilvl="6" w:tplc="100A000F" w:tentative="1">
      <w:start w:val="1"/>
      <w:numFmt w:val="decimal"/>
      <w:lvlText w:val="%7."/>
      <w:lvlJc w:val="left"/>
      <w:pPr>
        <w:ind w:left="3240" w:hanging="360"/>
      </w:pPr>
    </w:lvl>
    <w:lvl w:ilvl="7" w:tplc="100A0019" w:tentative="1">
      <w:start w:val="1"/>
      <w:numFmt w:val="lowerLetter"/>
      <w:lvlText w:val="%8."/>
      <w:lvlJc w:val="left"/>
      <w:pPr>
        <w:ind w:left="3960" w:hanging="360"/>
      </w:pPr>
    </w:lvl>
    <w:lvl w:ilvl="8" w:tplc="100A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3" w15:restartNumberingAfterBreak="0">
    <w:nsid w:val="539F2F25"/>
    <w:multiLevelType w:val="hybridMultilevel"/>
    <w:tmpl w:val="D9A89F94"/>
    <w:lvl w:ilvl="0" w:tplc="915CF6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C3300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165419"/>
    <w:multiLevelType w:val="multilevel"/>
    <w:tmpl w:val="8C32C65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C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A0C5383"/>
    <w:multiLevelType w:val="hybridMultilevel"/>
    <w:tmpl w:val="05BC6C9C"/>
    <w:lvl w:ilvl="0" w:tplc="28A2398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C000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E32A6"/>
    <w:multiLevelType w:val="hybridMultilevel"/>
    <w:tmpl w:val="3000C6F0"/>
    <w:lvl w:ilvl="0" w:tplc="78E4477A">
      <w:start w:val="1"/>
      <w:numFmt w:val="decimal"/>
      <w:lvlText w:val="%1."/>
      <w:lvlJc w:val="left"/>
      <w:pPr>
        <w:ind w:left="2062" w:hanging="360"/>
      </w:pPr>
      <w:rPr>
        <w:b w:val="0"/>
        <w:bCs w:val="0"/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F588A"/>
    <w:multiLevelType w:val="hybridMultilevel"/>
    <w:tmpl w:val="FAE6CF9A"/>
    <w:lvl w:ilvl="0" w:tplc="915CF6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C3300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D70EF3"/>
    <w:multiLevelType w:val="multilevel"/>
    <w:tmpl w:val="8C32C65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C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93F473A"/>
    <w:multiLevelType w:val="multilevel"/>
    <w:tmpl w:val="69B0E06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C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424B9"/>
    <w:multiLevelType w:val="hybridMultilevel"/>
    <w:tmpl w:val="7BB2C1B6"/>
    <w:lvl w:ilvl="0" w:tplc="0CF2E572">
      <w:start w:val="1"/>
      <w:numFmt w:val="decimal"/>
      <w:lvlText w:val="%1."/>
      <w:lvlJc w:val="left"/>
      <w:pPr>
        <w:ind w:left="2160" w:hanging="360"/>
      </w:pPr>
      <w:rPr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C2972C6"/>
    <w:multiLevelType w:val="multilevel"/>
    <w:tmpl w:val="798EBA56"/>
    <w:lvl w:ilvl="0">
      <w:start w:val="1"/>
      <w:numFmt w:val="decimal"/>
      <w:lvlText w:val="%1."/>
      <w:lvlJc w:val="left"/>
      <w:pPr>
        <w:ind w:left="1800" w:hanging="360"/>
      </w:pPr>
      <w:rPr>
        <w:b w:val="0"/>
        <w:i w:val="0"/>
        <w:iCs w:val="0"/>
        <w:color w:val="C00000"/>
        <w:sz w:val="22"/>
        <w:szCs w:val="22"/>
      </w:rPr>
    </w:lvl>
    <w:lvl w:ilvl="1">
      <w:start w:val="1"/>
      <w:numFmt w:val="decimal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C3965D4"/>
    <w:multiLevelType w:val="multilevel"/>
    <w:tmpl w:val="7C7AF27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C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color w:val="FF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1"/>
  </w:num>
  <w:num w:numId="4">
    <w:abstractNumId w:val="3"/>
  </w:num>
  <w:num w:numId="5">
    <w:abstractNumId w:val="14"/>
  </w:num>
  <w:num w:numId="6">
    <w:abstractNumId w:val="2"/>
  </w:num>
  <w:num w:numId="7">
    <w:abstractNumId w:val="22"/>
  </w:num>
  <w:num w:numId="8">
    <w:abstractNumId w:val="5"/>
  </w:num>
  <w:num w:numId="9">
    <w:abstractNumId w:val="20"/>
  </w:num>
  <w:num w:numId="10">
    <w:abstractNumId w:val="16"/>
  </w:num>
  <w:num w:numId="11">
    <w:abstractNumId w:val="4"/>
  </w:num>
  <w:num w:numId="12">
    <w:abstractNumId w:val="7"/>
  </w:num>
  <w:num w:numId="13">
    <w:abstractNumId w:val="12"/>
  </w:num>
  <w:num w:numId="14">
    <w:abstractNumId w:val="8"/>
  </w:num>
  <w:num w:numId="15">
    <w:abstractNumId w:val="6"/>
  </w:num>
  <w:num w:numId="16">
    <w:abstractNumId w:val="19"/>
  </w:num>
  <w:num w:numId="17">
    <w:abstractNumId w:val="1"/>
  </w:num>
  <w:num w:numId="18">
    <w:abstractNumId w:val="11"/>
  </w:num>
  <w:num w:numId="19">
    <w:abstractNumId w:val="13"/>
  </w:num>
  <w:num w:numId="20">
    <w:abstractNumId w:val="15"/>
  </w:num>
  <w:num w:numId="21">
    <w:abstractNumId w:val="17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05"/>
    <w:rsid w:val="00000C7B"/>
    <w:rsid w:val="000074EA"/>
    <w:rsid w:val="000435E0"/>
    <w:rsid w:val="00060554"/>
    <w:rsid w:val="00093798"/>
    <w:rsid w:val="000A6A4F"/>
    <w:rsid w:val="000C4102"/>
    <w:rsid w:val="000D1446"/>
    <w:rsid w:val="000E0CE0"/>
    <w:rsid w:val="00105635"/>
    <w:rsid w:val="00117106"/>
    <w:rsid w:val="001B3414"/>
    <w:rsid w:val="001B7C1D"/>
    <w:rsid w:val="001D256D"/>
    <w:rsid w:val="001F1426"/>
    <w:rsid w:val="00207515"/>
    <w:rsid w:val="00224358"/>
    <w:rsid w:val="002306FD"/>
    <w:rsid w:val="002377B6"/>
    <w:rsid w:val="00240BB4"/>
    <w:rsid w:val="0026263B"/>
    <w:rsid w:val="002704C1"/>
    <w:rsid w:val="00277EA4"/>
    <w:rsid w:val="002817F6"/>
    <w:rsid w:val="002909DA"/>
    <w:rsid w:val="002910F1"/>
    <w:rsid w:val="002D6624"/>
    <w:rsid w:val="0030181A"/>
    <w:rsid w:val="003042A3"/>
    <w:rsid w:val="00310E67"/>
    <w:rsid w:val="00320660"/>
    <w:rsid w:val="003253A0"/>
    <w:rsid w:val="003431F1"/>
    <w:rsid w:val="0034591C"/>
    <w:rsid w:val="00370874"/>
    <w:rsid w:val="00392E07"/>
    <w:rsid w:val="003A0B2E"/>
    <w:rsid w:val="003A1EED"/>
    <w:rsid w:val="003A4D38"/>
    <w:rsid w:val="003F2D74"/>
    <w:rsid w:val="00411D77"/>
    <w:rsid w:val="00414900"/>
    <w:rsid w:val="004350DA"/>
    <w:rsid w:val="004437B3"/>
    <w:rsid w:val="004702D5"/>
    <w:rsid w:val="004763DF"/>
    <w:rsid w:val="004B3DEB"/>
    <w:rsid w:val="004C22A0"/>
    <w:rsid w:val="004E7B6A"/>
    <w:rsid w:val="004F102D"/>
    <w:rsid w:val="004F1712"/>
    <w:rsid w:val="00502B73"/>
    <w:rsid w:val="00511220"/>
    <w:rsid w:val="005270B6"/>
    <w:rsid w:val="005271A1"/>
    <w:rsid w:val="00563757"/>
    <w:rsid w:val="005714B5"/>
    <w:rsid w:val="005A09B1"/>
    <w:rsid w:val="005A194F"/>
    <w:rsid w:val="005C62BC"/>
    <w:rsid w:val="005D04EE"/>
    <w:rsid w:val="005F47CA"/>
    <w:rsid w:val="00604EEE"/>
    <w:rsid w:val="00627117"/>
    <w:rsid w:val="00631604"/>
    <w:rsid w:val="006501C3"/>
    <w:rsid w:val="00652096"/>
    <w:rsid w:val="00676DF3"/>
    <w:rsid w:val="006C46B1"/>
    <w:rsid w:val="006D7B57"/>
    <w:rsid w:val="006E1193"/>
    <w:rsid w:val="00745D8C"/>
    <w:rsid w:val="00754BF1"/>
    <w:rsid w:val="00764CB8"/>
    <w:rsid w:val="00774DE1"/>
    <w:rsid w:val="00783D7A"/>
    <w:rsid w:val="007865C9"/>
    <w:rsid w:val="007A01A3"/>
    <w:rsid w:val="007B69FE"/>
    <w:rsid w:val="00802594"/>
    <w:rsid w:val="00833FFE"/>
    <w:rsid w:val="00836983"/>
    <w:rsid w:val="008532D1"/>
    <w:rsid w:val="008A3589"/>
    <w:rsid w:val="008D1DC8"/>
    <w:rsid w:val="00927DBD"/>
    <w:rsid w:val="0093445D"/>
    <w:rsid w:val="0094340F"/>
    <w:rsid w:val="00943AD5"/>
    <w:rsid w:val="00966394"/>
    <w:rsid w:val="009777BD"/>
    <w:rsid w:val="009E3B53"/>
    <w:rsid w:val="00A04D5D"/>
    <w:rsid w:val="00A11E53"/>
    <w:rsid w:val="00A32E1B"/>
    <w:rsid w:val="00A330A9"/>
    <w:rsid w:val="00A46695"/>
    <w:rsid w:val="00A50C5C"/>
    <w:rsid w:val="00A52E79"/>
    <w:rsid w:val="00A536A7"/>
    <w:rsid w:val="00A62704"/>
    <w:rsid w:val="00A72B7B"/>
    <w:rsid w:val="00A93C77"/>
    <w:rsid w:val="00A94BCB"/>
    <w:rsid w:val="00A97227"/>
    <w:rsid w:val="00AB1D8F"/>
    <w:rsid w:val="00AB5EA8"/>
    <w:rsid w:val="00AC5D5B"/>
    <w:rsid w:val="00AC6873"/>
    <w:rsid w:val="00AD6B57"/>
    <w:rsid w:val="00AE6DC2"/>
    <w:rsid w:val="00B0521B"/>
    <w:rsid w:val="00B22EA5"/>
    <w:rsid w:val="00B26A82"/>
    <w:rsid w:val="00B31CB4"/>
    <w:rsid w:val="00B34071"/>
    <w:rsid w:val="00B35968"/>
    <w:rsid w:val="00B47AFA"/>
    <w:rsid w:val="00B860D8"/>
    <w:rsid w:val="00BA1396"/>
    <w:rsid w:val="00BB05BB"/>
    <w:rsid w:val="00BF4835"/>
    <w:rsid w:val="00BF4D68"/>
    <w:rsid w:val="00BF700C"/>
    <w:rsid w:val="00C177D2"/>
    <w:rsid w:val="00C27E3C"/>
    <w:rsid w:val="00C323ED"/>
    <w:rsid w:val="00C50197"/>
    <w:rsid w:val="00CA2FA0"/>
    <w:rsid w:val="00CC5F79"/>
    <w:rsid w:val="00CF61E0"/>
    <w:rsid w:val="00D10912"/>
    <w:rsid w:val="00D16133"/>
    <w:rsid w:val="00D30DF2"/>
    <w:rsid w:val="00D32E9C"/>
    <w:rsid w:val="00DA4308"/>
    <w:rsid w:val="00DD302D"/>
    <w:rsid w:val="00DE5805"/>
    <w:rsid w:val="00DF2C09"/>
    <w:rsid w:val="00E01225"/>
    <w:rsid w:val="00E2187E"/>
    <w:rsid w:val="00E34E18"/>
    <w:rsid w:val="00E4420C"/>
    <w:rsid w:val="00E505FB"/>
    <w:rsid w:val="00E53D23"/>
    <w:rsid w:val="00E665DD"/>
    <w:rsid w:val="00E71DF8"/>
    <w:rsid w:val="00E735C1"/>
    <w:rsid w:val="00E7482B"/>
    <w:rsid w:val="00E82EB3"/>
    <w:rsid w:val="00E93066"/>
    <w:rsid w:val="00EA2494"/>
    <w:rsid w:val="00EA44BC"/>
    <w:rsid w:val="00EB729C"/>
    <w:rsid w:val="00EE5861"/>
    <w:rsid w:val="00EF00D7"/>
    <w:rsid w:val="00F07BC4"/>
    <w:rsid w:val="00F2607D"/>
    <w:rsid w:val="00F4007F"/>
    <w:rsid w:val="00F46707"/>
    <w:rsid w:val="00F46731"/>
    <w:rsid w:val="00F52B12"/>
    <w:rsid w:val="00F6620A"/>
    <w:rsid w:val="00F679B3"/>
    <w:rsid w:val="00F706D4"/>
    <w:rsid w:val="00F9040D"/>
    <w:rsid w:val="00FA0F92"/>
    <w:rsid w:val="00FD3AA1"/>
    <w:rsid w:val="00FD509D"/>
    <w:rsid w:val="00FE6597"/>
    <w:rsid w:val="00FF2878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8FC22A9"/>
  <w15:docId w15:val="{AF89E019-FB48-4321-B67A-96F3DC7D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G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7C6"/>
    <w:pPr>
      <w:autoSpaceDE w:val="0"/>
      <w:autoSpaceDN w:val="0"/>
    </w:pPr>
  </w:style>
  <w:style w:type="paragraph" w:styleId="Ttulo1">
    <w:name w:val="heading 1"/>
    <w:basedOn w:val="Normal"/>
    <w:link w:val="Ttulo1Car"/>
    <w:uiPriority w:val="9"/>
    <w:qFormat/>
    <w:rsid w:val="007F2E49"/>
    <w:pPr>
      <w:ind w:left="102"/>
      <w:outlineLvl w:val="0"/>
    </w:pPr>
    <w:rPr>
      <w:rFonts w:ascii="Calibri" w:eastAsia="Calibri" w:hAnsi="Calibri" w:cs="Calibri"/>
      <w:b/>
      <w:bCs/>
      <w:u w:val="single" w:color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7F2E49"/>
    <w:pPr>
      <w:spacing w:before="96"/>
      <w:ind w:left="692" w:right="715" w:firstLine="57"/>
      <w:jc w:val="both"/>
    </w:pPr>
    <w:rPr>
      <w:rFonts w:ascii="Calibri" w:eastAsia="Calibri" w:hAnsi="Calibri" w:cs="Calibri"/>
      <w:b/>
      <w:bCs/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rsid w:val="003C07C6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C07C6"/>
  </w:style>
  <w:style w:type="paragraph" w:styleId="Prrafodelista">
    <w:name w:val="List Paragraph"/>
    <w:basedOn w:val="Normal"/>
    <w:uiPriority w:val="34"/>
    <w:qFormat/>
    <w:rsid w:val="00934A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54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54D6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254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4D6"/>
    <w:rPr>
      <w:rFonts w:ascii="Arial" w:eastAsia="Arial" w:hAnsi="Arial" w:cs="Arial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7F2E49"/>
    <w:rPr>
      <w:rFonts w:ascii="Calibri" w:eastAsia="Calibri" w:hAnsi="Calibri" w:cs="Calibri"/>
      <w:b/>
      <w:bCs/>
      <w:sz w:val="32"/>
      <w:szCs w:val="3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F2E49"/>
    <w:rPr>
      <w:rFonts w:ascii="Calibri" w:eastAsia="Calibri" w:hAnsi="Calibri" w:cs="Calibri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7F2E49"/>
    <w:pPr>
      <w:ind w:left="821"/>
    </w:pPr>
    <w:rPr>
      <w:rFonts w:ascii="Century Gothic" w:eastAsia="Century Gothic" w:hAnsi="Century Gothic" w:cs="Century Gothic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F2E49"/>
    <w:rPr>
      <w:rFonts w:ascii="Century Gothic" w:eastAsia="Century Gothic" w:hAnsi="Century Gothic" w:cs="Century Gothic"/>
      <w:lang w:val="es-ES"/>
    </w:rPr>
  </w:style>
  <w:style w:type="table" w:styleId="Tablaconcuadrcula">
    <w:name w:val="Table Grid"/>
    <w:basedOn w:val="Tablanormal"/>
    <w:uiPriority w:val="59"/>
    <w:rsid w:val="00687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61F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61F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3696C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4F10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M0PWk+Sm/or5qlK1G6p0N7BPAA==">CgMxLjAyCGguZ2pkZ3hzOAByITF2T3V6QVhSbU9Xckw4VkFZMktiMkdjLVBXa20zVzZ1Tw==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3CC098-874D-4C5D-9F5E-31EEEE00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 Nathanael</dc:creator>
  <cp:lastModifiedBy>David Antonio Briones Morales</cp:lastModifiedBy>
  <cp:revision>16</cp:revision>
  <cp:lastPrinted>2023-09-20T10:23:00Z</cp:lastPrinted>
  <dcterms:created xsi:type="dcterms:W3CDTF">2023-10-18T22:13:00Z</dcterms:created>
  <dcterms:modified xsi:type="dcterms:W3CDTF">2024-01-30T18:42:00Z</dcterms:modified>
</cp:coreProperties>
</file>