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CB13" w14:textId="77777777" w:rsidR="00BB2C69" w:rsidRDefault="00BB2C69" w:rsidP="00BB2C69">
      <w:pPr>
        <w:shd w:val="clear" w:color="auto" w:fill="FFFFFF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55DF" wp14:editId="625F15D0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5410200" cy="714375"/>
                <wp:effectExtent l="0" t="0" r="0" b="0"/>
                <wp:wrapNone/>
                <wp:docPr id="8" name="Cuadro de texto 1" descr="Lista de inventario" titl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8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7143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9E96E" w14:textId="77777777" w:rsidR="00310BEA" w:rsidRDefault="00BB2C69" w:rsidP="00A11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Informe mensual con interpretación de datos recabados en</w:t>
                            </w:r>
                            <w:r w:rsidR="00310BE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la</w:t>
                            </w:r>
                          </w:p>
                          <w:p w14:paraId="4BDCEA04" w14:textId="77777777" w:rsidR="00BB2C69" w:rsidRDefault="00BB2C69" w:rsidP="00A113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prestación de servicios de acuerdo con la Ley de Idiomas Nacionales</w:t>
                            </w:r>
                          </w:p>
                          <w:p w14:paraId="750A791C" w14:textId="77777777" w:rsidR="00BB2C69" w:rsidRDefault="00BB2C69" w:rsidP="006A7C0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455D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alt="Título: Title 1 - Descripción: Lista de inventario" style="position:absolute;left:0;text-align:left;margin-left:374.8pt;margin-top:2.65pt;width:426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" filled="f" stroked="f" strokeweight=".5pt">
                <v:textbox>
                  <w:txbxContent>
                    <w:p w14:paraId="1DD9E96E" w14:textId="77777777" w:rsidR="00310BEA" w:rsidRDefault="00BB2C69" w:rsidP="00A113A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Informe mensual con interpretación de datos recabados en</w:t>
                      </w:r>
                      <w:r w:rsidR="00310BEA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la</w:t>
                      </w:r>
                    </w:p>
                    <w:p w14:paraId="4BDCEA04" w14:textId="77777777" w:rsidR="00BB2C69" w:rsidRDefault="00BB2C69" w:rsidP="00A113A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prestación de servicios de acuerdo con la Ley de Idiomas Nacionales</w:t>
                      </w:r>
                    </w:p>
                    <w:p w14:paraId="750A791C" w14:textId="77777777" w:rsidR="00BB2C69" w:rsidRDefault="00BB2C69" w:rsidP="006A7C0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D4C98A" wp14:editId="2244B270">
            <wp:extent cx="5612130" cy="742950"/>
            <wp:effectExtent l="0" t="0" r="7620" b="0"/>
            <wp:docPr id="1" name="Imagen 1" descr="Banner abstracto" title="Banner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Banner abstracto" title="Banner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61213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D3BCC" w14:textId="77777777" w:rsidR="00BB2C69" w:rsidRPr="00E825CD" w:rsidRDefault="00BB2C69" w:rsidP="000877F8">
      <w:pPr>
        <w:shd w:val="clear" w:color="auto" w:fill="FFFFFF"/>
        <w:jc w:val="center"/>
        <w:rPr>
          <w:rFonts w:asciiTheme="minorHAnsi" w:hAnsiTheme="minorHAnsi" w:cstheme="minorHAnsi"/>
          <w:b/>
          <w:color w:val="000000" w:themeColor="text1"/>
          <w:sz w:val="12"/>
          <w:szCs w:val="12"/>
        </w:rPr>
      </w:pPr>
    </w:p>
    <w:p w14:paraId="213BB4D0" w14:textId="77777777" w:rsidR="00C02FE5" w:rsidRPr="00C02FE5" w:rsidRDefault="00C02FE5" w:rsidP="00C02FE5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 w:rsidRPr="00C02FE5">
        <w:rPr>
          <w:rFonts w:asciiTheme="minorHAnsi" w:hAnsiTheme="minorHAnsi" w:cstheme="minorHAnsi"/>
          <w:color w:val="000000" w:themeColor="text1"/>
        </w:rPr>
        <w:t>De conformidad con lo dispuesto en los Artículos: 66 de la Constitución Política de la República de Guatemala; 10, 14 y 15 del Decreto No. 19-2003, Ley de Idiomas Nacionales; y, Artículo 10, Numeral 28 del Decreto No. 57-2008, Ley de Acceso a la Información Pública, todos del Congreso de la República de Guatemala.</w:t>
      </w:r>
    </w:p>
    <w:p w14:paraId="0A944FC8" w14:textId="77777777" w:rsidR="00C02FE5" w:rsidRPr="00E825CD" w:rsidRDefault="00C02FE5" w:rsidP="001B1689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76C55251" w14:textId="3699EDCC" w:rsidR="001B1689" w:rsidRDefault="00C334B3" w:rsidP="001B1689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Presenta </w:t>
      </w:r>
      <w:r w:rsidR="001B1689" w:rsidRPr="00C02FE5">
        <w:rPr>
          <w:rFonts w:asciiTheme="minorHAnsi" w:hAnsiTheme="minorHAnsi" w:cstheme="minorHAnsi"/>
          <w:color w:val="000000" w:themeColor="text1"/>
        </w:rPr>
        <w:t xml:space="preserve">Informe </w:t>
      </w:r>
      <w:r>
        <w:rPr>
          <w:rFonts w:asciiTheme="minorHAnsi" w:hAnsiTheme="minorHAnsi" w:cstheme="minorHAnsi"/>
          <w:color w:val="000000" w:themeColor="text1"/>
        </w:rPr>
        <w:t xml:space="preserve">de </w:t>
      </w:r>
      <w:r w:rsidR="009E5026">
        <w:rPr>
          <w:rFonts w:asciiTheme="minorHAnsi" w:hAnsiTheme="minorHAnsi" w:cstheme="minorHAnsi"/>
          <w:b/>
          <w:bCs/>
          <w:color w:val="FF0000"/>
        </w:rPr>
        <w:t>ENERO</w:t>
      </w:r>
      <w:r w:rsidR="00097E0B" w:rsidRPr="008D1021">
        <w:rPr>
          <w:rFonts w:asciiTheme="minorHAnsi" w:hAnsiTheme="minorHAnsi" w:cstheme="minorHAnsi"/>
          <w:b/>
          <w:color w:val="FF0000"/>
        </w:rPr>
        <w:t xml:space="preserve"> 202</w:t>
      </w:r>
      <w:r w:rsidR="009E5026">
        <w:rPr>
          <w:rFonts w:asciiTheme="minorHAnsi" w:hAnsiTheme="minorHAnsi" w:cstheme="minorHAnsi"/>
          <w:b/>
          <w:color w:val="FF0000"/>
        </w:rPr>
        <w:t>4</w:t>
      </w:r>
      <w:r>
        <w:rPr>
          <w:rFonts w:asciiTheme="minorHAnsi" w:hAnsiTheme="minorHAnsi" w:cstheme="minorHAnsi"/>
          <w:color w:val="000000" w:themeColor="text1"/>
        </w:rPr>
        <w:t>, relacionado a la</w:t>
      </w:r>
      <w:r w:rsidR="001B1689" w:rsidRPr="00C02FE5">
        <w:rPr>
          <w:rFonts w:asciiTheme="minorHAnsi" w:hAnsiTheme="minorHAnsi" w:cstheme="minorHAnsi"/>
          <w:color w:val="000000" w:themeColor="text1"/>
        </w:rPr>
        <w:t xml:space="preserve"> Pertenencia Sociolingüística de los usuarios de los servicios</w:t>
      </w:r>
      <w:r w:rsidR="001B1689" w:rsidRPr="00C02FE5">
        <w:rPr>
          <w:rFonts w:asciiTheme="minorHAnsi" w:eastAsia="Times New Roman" w:hAnsiTheme="minorHAnsi" w:cstheme="minorHAnsi"/>
          <w:color w:val="000000" w:themeColor="text1"/>
          <w:lang w:eastAsia="es-GT"/>
        </w:rPr>
        <w:t xml:space="preserve"> en el </w:t>
      </w:r>
      <w:r w:rsidR="001B1689" w:rsidRPr="00C02FE5">
        <w:rPr>
          <w:rFonts w:asciiTheme="minorHAnsi" w:hAnsiTheme="minorHAnsi" w:cstheme="minorHAnsi"/>
          <w:color w:val="000000" w:themeColor="text1"/>
        </w:rPr>
        <w:t xml:space="preserve">Ministerio de Energía y Minas, </w:t>
      </w:r>
      <w:r w:rsidR="001B1689" w:rsidRPr="00C02FE5">
        <w:rPr>
          <w:rFonts w:asciiTheme="minorHAnsi" w:eastAsia="Times New Roman" w:hAnsiTheme="minorHAnsi" w:cstheme="minorHAnsi"/>
          <w:color w:val="000000" w:themeColor="text1"/>
          <w:lang w:eastAsia="es-GT"/>
        </w:rPr>
        <w:t xml:space="preserve">diagonal 17, 29-78, zona 11 Las Charcas y Dirección General de Energía, 24 calle 21-12, zona 12 </w:t>
      </w:r>
      <w:r w:rsidR="001B1689" w:rsidRPr="00C02FE5">
        <w:rPr>
          <w:rFonts w:asciiTheme="minorHAnsi" w:hAnsiTheme="minorHAnsi" w:cstheme="minorHAnsi"/>
          <w:color w:val="000000" w:themeColor="text1"/>
        </w:rPr>
        <w:t xml:space="preserve">Ciudad de Guatemala, en atención a lo anterior, a través de Información recibida de la </w:t>
      </w:r>
      <w:r w:rsidR="001B1689" w:rsidRPr="00A113A2">
        <w:rPr>
          <w:rFonts w:asciiTheme="minorHAnsi" w:hAnsiTheme="minorHAnsi" w:cstheme="minorHAnsi"/>
          <w:color w:val="000000" w:themeColor="text1"/>
        </w:rPr>
        <w:t xml:space="preserve">Dirección </w:t>
      </w:r>
      <w:r w:rsidR="00A113A2">
        <w:rPr>
          <w:rFonts w:asciiTheme="minorHAnsi" w:hAnsiTheme="minorHAnsi" w:cstheme="minorHAnsi"/>
          <w:color w:val="000000" w:themeColor="text1"/>
        </w:rPr>
        <w:t xml:space="preserve">General </w:t>
      </w:r>
      <w:r w:rsidR="001B1689" w:rsidRPr="00A113A2">
        <w:rPr>
          <w:rFonts w:asciiTheme="minorHAnsi" w:hAnsiTheme="minorHAnsi" w:cstheme="minorHAnsi"/>
          <w:color w:val="000000" w:themeColor="text1"/>
        </w:rPr>
        <w:t>Administrativa</w:t>
      </w:r>
      <w:r w:rsidR="001B1689" w:rsidRPr="00C02FE5">
        <w:rPr>
          <w:rFonts w:asciiTheme="minorHAnsi" w:hAnsiTheme="minorHAnsi" w:cstheme="minorHAnsi"/>
          <w:color w:val="000000" w:themeColor="text1"/>
        </w:rPr>
        <w:t xml:space="preserve"> de este Ministerio, genera estadísticas sobre la pertenencia sociolingüística de los usuarios de los servicios brindados de acuerdo al cuadro que identifica </w:t>
      </w:r>
      <w:r w:rsidR="001B1689" w:rsidRPr="00C02FE5">
        <w:rPr>
          <w:rFonts w:asciiTheme="minorHAnsi" w:hAnsiTheme="minorHAnsi" w:cstheme="minorHAnsi"/>
          <w:b/>
          <w:color w:val="000000" w:themeColor="text1"/>
        </w:rPr>
        <w:t>los 25 idiomas nacionales</w:t>
      </w:r>
      <w:r w:rsidR="001B1689" w:rsidRPr="00C02FE5">
        <w:rPr>
          <w:rFonts w:asciiTheme="minorHAnsi" w:hAnsiTheme="minorHAnsi" w:cstheme="minorHAnsi"/>
          <w:color w:val="000000" w:themeColor="text1"/>
        </w:rPr>
        <w:t>, por lo que, a continuación, se rinde: Informe mensual con interpretación de datos recabados en la prestación de servicios de acuerdo con la Ley de Idiomas Nacionales</w:t>
      </w:r>
    </w:p>
    <w:p w14:paraId="0AF3E324" w14:textId="77777777" w:rsidR="00E825CD" w:rsidRPr="00E825CD" w:rsidRDefault="00E825CD" w:rsidP="001B1689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Listamedia2-nfasis1"/>
        <w:tblW w:w="4897" w:type="pct"/>
        <w:tblInd w:w="-5" w:type="dxa"/>
        <w:tblLook w:val="04A0" w:firstRow="1" w:lastRow="0" w:firstColumn="1" w:lastColumn="0" w:noHBand="0" w:noVBand="1"/>
      </w:tblPr>
      <w:tblGrid>
        <w:gridCol w:w="1158"/>
        <w:gridCol w:w="2526"/>
        <w:gridCol w:w="1555"/>
        <w:gridCol w:w="1705"/>
        <w:gridCol w:w="1702"/>
      </w:tblGrid>
      <w:tr w:rsidR="00E825CD" w:rsidRPr="00310BEA" w14:paraId="286A3A41" w14:textId="77777777" w:rsidTr="00E82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D9D57" w14:textId="77777777" w:rsidR="00E825CD" w:rsidRPr="000877F8" w:rsidRDefault="00E825CD" w:rsidP="00E825CD">
            <w:pPr>
              <w:rPr>
                <w:rFonts w:asciiTheme="minorHAnsi" w:eastAsiaTheme="minorEastAsia" w:hAnsiTheme="minorHAnsi" w:cstheme="minorBidi"/>
                <w:b/>
                <w:color w:val="auto"/>
                <w:sz w:val="24"/>
              </w:rPr>
            </w:pPr>
            <w:r w:rsidRPr="000877F8">
              <w:rPr>
                <w:rFonts w:asciiTheme="minorHAnsi" w:eastAsiaTheme="minorEastAsia" w:hAnsiTheme="minorHAnsi" w:cstheme="minorBidi"/>
                <w:b/>
                <w:color w:val="auto"/>
                <w:sz w:val="24"/>
                <w:lang w:val="es-ES"/>
              </w:rPr>
              <w:t>NÚMERO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F477" w14:textId="77777777" w:rsidR="00E825CD" w:rsidRPr="000877F8" w:rsidRDefault="00E825CD" w:rsidP="00E82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4"/>
              </w:rPr>
            </w:pPr>
            <w:r w:rsidRPr="000877F8">
              <w:rPr>
                <w:rFonts w:asciiTheme="minorHAnsi" w:eastAsiaTheme="minorEastAsia" w:hAnsiTheme="minorHAnsi" w:cstheme="minorBidi"/>
                <w:b/>
                <w:color w:val="auto"/>
                <w:sz w:val="24"/>
                <w:lang w:val="es-ES"/>
              </w:rPr>
              <w:t>IDIOMA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3540" w14:textId="77777777" w:rsidR="00E825CD" w:rsidRPr="000877F8" w:rsidRDefault="00E825CD" w:rsidP="00E82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4"/>
              </w:rPr>
            </w:pPr>
            <w:r w:rsidRPr="000877F8">
              <w:rPr>
                <w:rFonts w:asciiTheme="minorHAnsi" w:eastAsiaTheme="minorEastAsia" w:hAnsiTheme="minorHAnsi" w:cstheme="minorBidi"/>
                <w:b/>
                <w:color w:val="auto"/>
                <w:sz w:val="24"/>
                <w:lang w:val="es-ES"/>
              </w:rPr>
              <w:t>MASCULINO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9EAF" w14:textId="77777777" w:rsidR="00E825CD" w:rsidRPr="000877F8" w:rsidRDefault="00E825CD" w:rsidP="00E82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4"/>
              </w:rPr>
            </w:pPr>
            <w:r w:rsidRPr="000877F8">
              <w:rPr>
                <w:rFonts w:asciiTheme="minorHAnsi" w:eastAsiaTheme="minorEastAsia" w:hAnsiTheme="minorHAnsi" w:cstheme="minorBidi"/>
                <w:b/>
                <w:color w:val="auto"/>
                <w:sz w:val="24"/>
                <w:lang w:val="es-ES"/>
              </w:rPr>
              <w:t>FEMENINO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6F85" w14:textId="77777777" w:rsidR="00E825CD" w:rsidRPr="000877F8" w:rsidRDefault="00E825CD" w:rsidP="00E825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color w:val="auto"/>
                <w:sz w:val="24"/>
              </w:rPr>
            </w:pPr>
            <w:r w:rsidRPr="000877F8">
              <w:rPr>
                <w:rFonts w:asciiTheme="minorHAnsi" w:eastAsiaTheme="minorEastAsia" w:hAnsiTheme="minorHAnsi" w:cstheme="minorBidi"/>
                <w:b/>
                <w:color w:val="auto"/>
                <w:sz w:val="24"/>
                <w:lang w:val="es-ES"/>
              </w:rPr>
              <w:t>TOTAL</w:t>
            </w:r>
          </w:p>
        </w:tc>
      </w:tr>
      <w:tr w:rsidR="00E825CD" w14:paraId="67783510" w14:textId="77777777" w:rsidTr="00E8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989B0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CFA6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proofErr w:type="spellStart"/>
            <w:r>
              <w:t>Achi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DB4F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54E4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9DF3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E825CD" w14:paraId="28CBFE99" w14:textId="77777777" w:rsidTr="00E825C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89316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2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7887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proofErr w:type="spellStart"/>
            <w:r>
              <w:t>Akateka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9C19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48BE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7CD0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E825CD" w14:paraId="670F0489" w14:textId="77777777" w:rsidTr="00E8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2EE8D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3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F30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proofErr w:type="spellStart"/>
            <w:r>
              <w:t>Awakateka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67B7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CB2C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1BD7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E825CD" w14:paraId="7912AF0E" w14:textId="77777777" w:rsidTr="00E825C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DD84E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4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EB0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proofErr w:type="spellStart"/>
            <w:r>
              <w:t>Chalchiteka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546C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8EF2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057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E825CD" w14:paraId="02A95381" w14:textId="77777777" w:rsidTr="00E8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2AA30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</w:rPr>
              <w:t>5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E841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  <w:proofErr w:type="spellStart"/>
            <w:r>
              <w:t>Ch´orti</w:t>
            </w:r>
            <w:proofErr w:type="spellEnd"/>
            <w:r>
              <w:t>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BFE9" w14:textId="49FDC28F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0D42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7EFC" w14:textId="271DC610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</w:rPr>
            </w:pPr>
          </w:p>
        </w:tc>
      </w:tr>
      <w:tr w:rsidR="00E825CD" w14:paraId="1CE23A6C" w14:textId="77777777" w:rsidTr="00E825C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F53A0E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FBC9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Chuj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308E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6597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3FED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25CD" w14:paraId="7B51123E" w14:textId="77777777" w:rsidTr="00E8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E7F41D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BCD3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t>Itza</w:t>
            </w:r>
            <w:proofErr w:type="spellEnd"/>
            <w:r>
              <w:t>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BEA5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B189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9655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25CD" w14:paraId="276BF0B1" w14:textId="77777777" w:rsidTr="00E825C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35CCC8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8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0306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Ixil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EC72" w14:textId="4B6E95B9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C781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5D87" w14:textId="3E7C8E5F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25CD" w14:paraId="4E858C63" w14:textId="77777777" w:rsidTr="00E8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D7876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9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2F9F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Kaqchikel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97D6" w14:textId="070D6690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EBF9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7ECF" w14:textId="6C72B16C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25CD" w14:paraId="757F5367" w14:textId="77777777" w:rsidTr="00E825C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78CDA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10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6DB3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t>K´iche</w:t>
            </w:r>
            <w:proofErr w:type="spellEnd"/>
            <w:r>
              <w:t>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3217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4977" w14:textId="57A8FFF0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1B0B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25CD" w14:paraId="6D103BEF" w14:textId="77777777" w:rsidTr="00E8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F9187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AC4D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t>Mam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F204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80CF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5A9E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25CD" w14:paraId="35C7E381" w14:textId="77777777" w:rsidTr="00E825C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D8262E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12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AFB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t>Mopan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08D6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B18F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C783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25CD" w14:paraId="082804EC" w14:textId="77777777" w:rsidTr="00E8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F8974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13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CD1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t>Jakalteka</w:t>
            </w:r>
            <w:proofErr w:type="spellEnd"/>
            <w:r>
              <w:t xml:space="preserve"> (</w:t>
            </w:r>
            <w:proofErr w:type="spellStart"/>
            <w:r>
              <w:t>popti</w:t>
            </w:r>
            <w:proofErr w:type="spellEnd"/>
            <w:r>
              <w:t>´)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9A6C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BAC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D88A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25CD" w14:paraId="4C12FD00" w14:textId="77777777" w:rsidTr="00E825C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17C99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14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A92A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Poqomam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70D9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1554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26A3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25CD" w14:paraId="5E0C8508" w14:textId="77777777" w:rsidTr="00E8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0D546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15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A3F6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t>Poqomchi</w:t>
            </w:r>
            <w:proofErr w:type="spellEnd"/>
            <w:r>
              <w:t>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03CA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13AF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D5FF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25CD" w14:paraId="1FC730FA" w14:textId="77777777" w:rsidTr="00E825C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58653E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16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AD20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t>Q´anjob´al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87E9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9C9C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D187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25CD" w14:paraId="5AD8B9D8" w14:textId="77777777" w:rsidTr="00E8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EAB88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17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989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t>Q´eqchi</w:t>
            </w:r>
            <w:proofErr w:type="spellEnd"/>
            <w:r>
              <w:t>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F166" w14:textId="40059195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ADB9" w14:textId="30AEDD84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599D" w14:textId="3F74E95E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25CD" w14:paraId="176E9ED0" w14:textId="77777777" w:rsidTr="00E825C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E7D31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18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A5F5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t>Sakapulteka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63BA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8122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AF6D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25CD" w14:paraId="40309A72" w14:textId="77777777" w:rsidTr="00E8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F41DC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19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37CC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t>Sipakapense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8F5F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144B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4091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25CD" w14:paraId="1A05516F" w14:textId="77777777" w:rsidTr="00E825C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A1E1DB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20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4B41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t>Tektiteka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B509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B7E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16B7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25CD" w14:paraId="086F352D" w14:textId="77777777" w:rsidTr="00E8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11D8FA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21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DDDE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t>Tz´utujil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878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D9F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D849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25CD" w14:paraId="1023280C" w14:textId="77777777" w:rsidTr="00E825C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7ABDB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22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C65B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t>Uspanteka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3B6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6EDD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4A5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25CD" w14:paraId="40785A57" w14:textId="77777777" w:rsidTr="00E8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4207D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23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23DE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Garífuna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C7ED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A57E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96CE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25CD" w14:paraId="791FE575" w14:textId="77777777" w:rsidTr="00B92095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2E9F09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24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F788" w14:textId="7777777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t>Xinka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FF63" w14:textId="358B75B7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50DB" w14:textId="0329A1E1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BDE0" w14:textId="6F33E956" w:rsidR="00E825CD" w:rsidRDefault="00E825CD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825CD" w14:paraId="4C31B3A0" w14:textId="77777777" w:rsidTr="00E82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B2A45A" w14:textId="77777777" w:rsidR="00E825CD" w:rsidRDefault="00E825CD" w:rsidP="00E825CD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25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EB6E" w14:textId="77777777" w:rsidR="00E825CD" w:rsidRDefault="00E825CD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t>Español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D9E3" w14:textId="095BB22C" w:rsidR="00E825CD" w:rsidRDefault="009E5026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1,675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CE47" w14:textId="27075C2D" w:rsidR="00E825CD" w:rsidRDefault="009E5026" w:rsidP="00E825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792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5A86" w14:textId="0DB209A6" w:rsidR="00E825CD" w:rsidRDefault="009E5026" w:rsidP="00C83E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2,467</w:t>
            </w:r>
          </w:p>
        </w:tc>
      </w:tr>
      <w:tr w:rsidR="00E825CD" w14:paraId="5671ECD0" w14:textId="77777777" w:rsidTr="00E825CD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4DF03" w14:textId="76C3C9A3" w:rsidR="00E825CD" w:rsidRPr="00E825CD" w:rsidRDefault="00D14708" w:rsidP="00E825CD">
            <w:pPr>
              <w:jc w:val="center"/>
              <w:rPr>
                <w:b/>
              </w:rPr>
            </w:pPr>
            <w:proofErr w:type="gramStart"/>
            <w:r w:rsidRPr="00E825CD">
              <w:rPr>
                <w:b/>
              </w:rPr>
              <w:t>TOTAL</w:t>
            </w:r>
            <w:r w:rsidR="00025A5E">
              <w:rPr>
                <w:b/>
              </w:rPr>
              <w:t xml:space="preserve"> </w:t>
            </w:r>
            <w:r w:rsidR="00E825CD" w:rsidRPr="00E825CD">
              <w:rPr>
                <w:b/>
              </w:rPr>
              <w:t xml:space="preserve"> DE</w:t>
            </w:r>
            <w:proofErr w:type="gramEnd"/>
            <w:r w:rsidR="00E825CD" w:rsidRPr="00E825CD">
              <w:rPr>
                <w:b/>
              </w:rPr>
              <w:t xml:space="preserve"> USUARIOS ATENDIDOS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06C" w14:textId="3A871A5D" w:rsidR="00E825CD" w:rsidRPr="00A113A2" w:rsidRDefault="009E5026" w:rsidP="00B92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1,675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29E7" w14:textId="7B046EE2" w:rsidR="00E825CD" w:rsidRPr="00A113A2" w:rsidRDefault="009E5026" w:rsidP="009E50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792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6560" w14:textId="38341EF6" w:rsidR="00E825CD" w:rsidRPr="00A113A2" w:rsidRDefault="009E5026" w:rsidP="00E825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2,467</w:t>
            </w:r>
          </w:p>
        </w:tc>
      </w:tr>
    </w:tbl>
    <w:p w14:paraId="6B96D8B4" w14:textId="77777777" w:rsidR="002F4F1E" w:rsidRDefault="002F4F1E" w:rsidP="00025A5E"/>
    <w:sectPr w:rsidR="002F4F1E" w:rsidSect="00025A5E">
      <w:pgSz w:w="12240" w:h="15840"/>
      <w:pgMar w:top="127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689"/>
    <w:rsid w:val="00025A5E"/>
    <w:rsid w:val="00070464"/>
    <w:rsid w:val="000877F8"/>
    <w:rsid w:val="00097E0B"/>
    <w:rsid w:val="00117825"/>
    <w:rsid w:val="001229B0"/>
    <w:rsid w:val="001560EE"/>
    <w:rsid w:val="001B1689"/>
    <w:rsid w:val="0021047B"/>
    <w:rsid w:val="00216578"/>
    <w:rsid w:val="002857F4"/>
    <w:rsid w:val="002867D5"/>
    <w:rsid w:val="002A17C8"/>
    <w:rsid w:val="002C7E71"/>
    <w:rsid w:val="002F4F1E"/>
    <w:rsid w:val="00310BEA"/>
    <w:rsid w:val="00434AD7"/>
    <w:rsid w:val="0045390F"/>
    <w:rsid w:val="0045611B"/>
    <w:rsid w:val="004E4DC3"/>
    <w:rsid w:val="00510AD5"/>
    <w:rsid w:val="005B1517"/>
    <w:rsid w:val="006A6A81"/>
    <w:rsid w:val="006A7C02"/>
    <w:rsid w:val="006D33BD"/>
    <w:rsid w:val="006D3502"/>
    <w:rsid w:val="006D6300"/>
    <w:rsid w:val="006D69AA"/>
    <w:rsid w:val="007353B8"/>
    <w:rsid w:val="00747E44"/>
    <w:rsid w:val="00753D9D"/>
    <w:rsid w:val="007B3E93"/>
    <w:rsid w:val="00866BD1"/>
    <w:rsid w:val="008B4051"/>
    <w:rsid w:val="008D1021"/>
    <w:rsid w:val="00913EAB"/>
    <w:rsid w:val="009437C7"/>
    <w:rsid w:val="00950CEF"/>
    <w:rsid w:val="00963183"/>
    <w:rsid w:val="00966FAA"/>
    <w:rsid w:val="009E2604"/>
    <w:rsid w:val="009E3EDA"/>
    <w:rsid w:val="009E5026"/>
    <w:rsid w:val="00A113A2"/>
    <w:rsid w:val="00B92095"/>
    <w:rsid w:val="00BB2C69"/>
    <w:rsid w:val="00C02FE5"/>
    <w:rsid w:val="00C334B3"/>
    <w:rsid w:val="00C83E6C"/>
    <w:rsid w:val="00CB35C8"/>
    <w:rsid w:val="00CB6413"/>
    <w:rsid w:val="00D12318"/>
    <w:rsid w:val="00D14708"/>
    <w:rsid w:val="00D44ECD"/>
    <w:rsid w:val="00D94110"/>
    <w:rsid w:val="00DF3650"/>
    <w:rsid w:val="00E825CD"/>
    <w:rsid w:val="00E84C85"/>
    <w:rsid w:val="00E86704"/>
    <w:rsid w:val="00EB2F8B"/>
    <w:rsid w:val="00EB346E"/>
    <w:rsid w:val="00EF3C02"/>
    <w:rsid w:val="00F03129"/>
    <w:rsid w:val="00F1026D"/>
    <w:rsid w:val="00F337EB"/>
    <w:rsid w:val="00F763C5"/>
    <w:rsid w:val="00F90316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08FA2"/>
  <w15:chartTrackingRefBased/>
  <w15:docId w15:val="{23B3577A-8B29-4161-9CC0-916F9288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689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Listamedia2-nfasis1">
    <w:name w:val="Medium List 2 Accent 1"/>
    <w:basedOn w:val="Tablanormal"/>
    <w:uiPriority w:val="66"/>
    <w:rsid w:val="00EB2F8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lang w:eastAsia="es-G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BB2C6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3C6BB-3E87-4B5D-B95C-9683C2DD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Pelaez</dc:creator>
  <cp:keywords/>
  <dc:description/>
  <cp:lastModifiedBy>Rosa Lilian Itzep Tunche</cp:lastModifiedBy>
  <cp:revision>2</cp:revision>
  <cp:lastPrinted>2023-03-09T22:12:00Z</cp:lastPrinted>
  <dcterms:created xsi:type="dcterms:W3CDTF">2024-09-11T21:07:00Z</dcterms:created>
  <dcterms:modified xsi:type="dcterms:W3CDTF">2024-09-11T21:07:00Z</dcterms:modified>
</cp:coreProperties>
</file>