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B13" w14:textId="3586D6D5" w:rsidR="00BB2C69" w:rsidRPr="00512C32" w:rsidRDefault="00910E10" w:rsidP="000825AE">
      <w:pPr>
        <w:shd w:val="clear" w:color="auto" w:fill="FFFFFF"/>
        <w:ind w:left="-993" w:right="-66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12C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5DF" wp14:editId="677CF79D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419725" cy="1038225"/>
                <wp:effectExtent l="0" t="0" r="0" b="0"/>
                <wp:wrapNone/>
                <wp:docPr id="8" name="Cuadro de texto 1" descr="Lista de inventario" titl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9E96E" w14:textId="28F8C015" w:rsidR="00310BEA" w:rsidRPr="00AC6105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INFORME MENSUAL DE DATOS RECABADOS EN LA</w:t>
                            </w:r>
                          </w:p>
                          <w:p w14:paraId="1DE04B7D" w14:textId="77777777" w:rsidR="005F1D7E" w:rsidRPr="00AC6105" w:rsidRDefault="005F1D7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BDCEA04" w14:textId="613E994C" w:rsidR="00BB2C69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PRESTACIÓN DE SERVICIOS DE ACUERDO CON LA LEY DE </w:t>
                            </w:r>
                            <w:r w:rsidR="00D3222C"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IDIOMAS NACIONALES</w:t>
                            </w:r>
                          </w:p>
                          <w:p w14:paraId="55371B51" w14:textId="77777777" w:rsidR="00AC6105" w:rsidRPr="00AC6105" w:rsidRDefault="00AC6105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50A791C" w14:textId="05FAE251" w:rsidR="00BB2C69" w:rsidRPr="00AC6105" w:rsidRDefault="00B575C5" w:rsidP="006A7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NOVIEMB</w:t>
                            </w:r>
                            <w:r w:rsidR="002C24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</w:t>
                            </w:r>
                            <w:r w:rsidR="00AC6105" w:rsidRPr="00AC61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55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Título: Title 1 - Descripción: Lista de inventario" style="position:absolute;left:0;text-align:left;margin-left:375.55pt;margin-top:1.8pt;width:426.7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" filled="f" stroked="f" strokeweight=".5pt">
                <v:textbox>
                  <w:txbxContent>
                    <w:p w14:paraId="1DD9E96E" w14:textId="28F8C015" w:rsidR="00310BEA" w:rsidRPr="00AC6105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INFORME MENSUAL DE DATOS RECABADOS EN LA</w:t>
                      </w:r>
                    </w:p>
                    <w:p w14:paraId="1DE04B7D" w14:textId="77777777" w:rsidR="005F1D7E" w:rsidRPr="00AC6105" w:rsidRDefault="005F1D7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BDCEA04" w14:textId="613E994C" w:rsidR="00BB2C69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 xml:space="preserve">PRESTACIÓN DE SERVICIOS DE ACUERDO CON LA LEY DE </w:t>
                      </w:r>
                      <w:r w:rsidR="00D3222C"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IDIOMAS NACIONALES</w:t>
                      </w:r>
                    </w:p>
                    <w:p w14:paraId="55371B51" w14:textId="77777777" w:rsidR="00AC6105" w:rsidRPr="00AC6105" w:rsidRDefault="00AC6105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50A791C" w14:textId="05FAE251" w:rsidR="00BB2C69" w:rsidRPr="00AC6105" w:rsidRDefault="00B575C5" w:rsidP="006A7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NOVIEMB</w:t>
                      </w:r>
                      <w:r w:rsidR="002C24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</w:t>
                      </w:r>
                      <w:r w:rsidR="00AC6105" w:rsidRPr="00AC61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C3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8480" behindDoc="0" locked="0" layoutInCell="1" allowOverlap="1" wp14:anchorId="1CE8A624" wp14:editId="7637C98A">
            <wp:simplePos x="0" y="0"/>
            <wp:positionH relativeFrom="column">
              <wp:posOffset>-632460</wp:posOffset>
            </wp:positionH>
            <wp:positionV relativeFrom="paragraph">
              <wp:posOffset>556895</wp:posOffset>
            </wp:positionV>
            <wp:extent cx="714375" cy="7143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69" w:rsidRPr="00512C32">
        <w:rPr>
          <w:rFonts w:asciiTheme="majorHAnsi" w:hAnsiTheme="majorHAnsi" w:cstheme="majorHAnsi"/>
          <w:noProof/>
        </w:rPr>
        <w:drawing>
          <wp:inline distT="0" distB="0" distL="0" distR="0" wp14:anchorId="74D4C98A" wp14:editId="25DC2337">
            <wp:extent cx="6905625" cy="1273810"/>
            <wp:effectExtent l="0" t="0" r="9525" b="2540"/>
            <wp:docPr id="1" name="Imagen 1" descr="Banner abstracto" title="Banner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Banner abstracto" title="Banner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9056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3BCC" w14:textId="7DB0E97A" w:rsidR="00BB2C69" w:rsidRPr="00512C32" w:rsidRDefault="00BB2C69" w:rsidP="000877F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12"/>
          <w:szCs w:val="12"/>
        </w:rPr>
      </w:pPr>
    </w:p>
    <w:p w14:paraId="5307D2B1" w14:textId="775A49E2" w:rsidR="00DA79A3" w:rsidRPr="00512C32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</w:rPr>
      </w:pPr>
      <w:r w:rsidRPr="00512C32">
        <w:rPr>
          <w:rFonts w:asciiTheme="majorHAnsi" w:hAnsiTheme="majorHAnsi" w:cstheme="majorHAnsi"/>
          <w:color w:val="000000" w:themeColor="text1"/>
        </w:rPr>
        <w:t>De conformidad con lo dispuesto en los Artículos:</w:t>
      </w:r>
      <w:r w:rsidR="00DA79A3" w:rsidRPr="00512C32">
        <w:rPr>
          <w:rFonts w:asciiTheme="majorHAnsi" w:hAnsiTheme="majorHAnsi" w:cstheme="majorHAnsi"/>
        </w:rPr>
        <w:t xml:space="preserve"> </w:t>
      </w:r>
      <w:r w:rsidR="00DA79A3" w:rsidRPr="00512C32">
        <w:rPr>
          <w:rFonts w:asciiTheme="majorHAnsi" w:hAnsiTheme="majorHAnsi" w:cstheme="majorHAnsi"/>
          <w:color w:val="000000" w:themeColor="text1"/>
        </w:rPr>
        <w:t xml:space="preserve">66 de la Constitución Política de la República de Guatemala; </w:t>
      </w:r>
      <w:r w:rsidR="00DA79A3" w:rsidRPr="00512C32">
        <w:rPr>
          <w:rFonts w:asciiTheme="majorHAnsi" w:hAnsiTheme="majorHAnsi" w:cstheme="majorHAnsi"/>
        </w:rPr>
        <w:t>10, 16,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</w:r>
    </w:p>
    <w:p w14:paraId="0A944FC8" w14:textId="6E2E36FC" w:rsidR="00C02FE5" w:rsidRPr="00512C32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  <w:sz w:val="14"/>
          <w:szCs w:val="14"/>
        </w:rPr>
      </w:pPr>
    </w:p>
    <w:p w14:paraId="5146BF5D" w14:textId="0661BA73" w:rsidR="000825AE" w:rsidRPr="00512C32" w:rsidRDefault="00C334B3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</w:rPr>
      </w:pPr>
      <w:r w:rsidRPr="00512C32">
        <w:rPr>
          <w:rFonts w:asciiTheme="majorHAnsi" w:hAnsiTheme="majorHAnsi" w:cstheme="majorHAnsi"/>
          <w:color w:val="000000" w:themeColor="text1"/>
        </w:rPr>
        <w:t xml:space="preserve">Presenta </w:t>
      </w:r>
      <w:r w:rsidR="001B1689" w:rsidRPr="00512C32">
        <w:rPr>
          <w:rFonts w:asciiTheme="majorHAnsi" w:hAnsiTheme="majorHAnsi" w:cstheme="majorHAnsi"/>
          <w:color w:val="000000" w:themeColor="text1"/>
        </w:rPr>
        <w:t>Informe</w:t>
      </w:r>
      <w:r w:rsidRPr="00512C32">
        <w:rPr>
          <w:rFonts w:asciiTheme="majorHAnsi" w:hAnsiTheme="majorHAnsi" w:cstheme="majorHAnsi"/>
          <w:color w:val="000000" w:themeColor="text1"/>
        </w:rPr>
        <w:t>, relacionado a la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 Pertenencia Sociolingüística de usuarios de los servicios</w:t>
      </w:r>
      <w:r w:rsidR="001B1689" w:rsidRPr="00512C32">
        <w:rPr>
          <w:rFonts w:asciiTheme="majorHAnsi" w:eastAsia="Times New Roman" w:hAnsiTheme="majorHAnsi" w:cstheme="majorHAnsi"/>
          <w:color w:val="000000" w:themeColor="text1"/>
          <w:lang w:eastAsia="es-GT"/>
        </w:rPr>
        <w:t xml:space="preserve"> en el 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Ministerio de Energía y Minas, </w:t>
      </w:r>
      <w:r w:rsidR="001B1689" w:rsidRPr="00512C32">
        <w:rPr>
          <w:rFonts w:asciiTheme="majorHAnsi" w:eastAsia="Times New Roman" w:hAnsiTheme="majorHAnsi" w:cstheme="majorHAnsi"/>
          <w:color w:val="000000" w:themeColor="text1"/>
          <w:lang w:eastAsia="es-GT"/>
        </w:rPr>
        <w:t xml:space="preserve">diagonal 17, 29-78, zona 11 Las Charcas y Dirección General de Energía, 24 calle 21-12, zona 12 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Ciudad de Guatemala, </w:t>
      </w:r>
      <w:r w:rsidR="00DA79A3" w:rsidRPr="00512C32">
        <w:rPr>
          <w:rFonts w:asciiTheme="majorHAnsi" w:hAnsiTheme="majorHAnsi" w:cstheme="majorHAnsi"/>
          <w:color w:val="000000" w:themeColor="text1"/>
        </w:rPr>
        <w:t>i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nformación recibida de la Dirección </w:t>
      </w:r>
      <w:r w:rsidR="00A113A2" w:rsidRPr="00512C32">
        <w:rPr>
          <w:rFonts w:asciiTheme="majorHAnsi" w:hAnsiTheme="majorHAnsi" w:cstheme="majorHAnsi"/>
          <w:color w:val="000000" w:themeColor="text1"/>
        </w:rPr>
        <w:t xml:space="preserve">General </w:t>
      </w:r>
      <w:r w:rsidR="001B1689" w:rsidRPr="00512C32">
        <w:rPr>
          <w:rFonts w:asciiTheme="majorHAnsi" w:hAnsiTheme="majorHAnsi" w:cstheme="majorHAnsi"/>
          <w:color w:val="000000" w:themeColor="text1"/>
        </w:rPr>
        <w:t>Administrativa de este Ministerio, cuadro que identifica los 25 idiomas nacionales, por lo que, a continuación se rinde: Informe mensual de datos recabados en la prestación de servicios de acuerdo con la Ley de Idiomas Nacionales</w:t>
      </w:r>
      <w:r w:rsidR="002C2428">
        <w:rPr>
          <w:rFonts w:asciiTheme="majorHAnsi" w:hAnsiTheme="majorHAnsi" w:cstheme="majorHAnsi"/>
          <w:color w:val="000000" w:themeColor="text1"/>
        </w:rPr>
        <w:t>.</w:t>
      </w:r>
    </w:p>
    <w:p w14:paraId="20A7EEEE" w14:textId="37A84F54" w:rsidR="004F6143" w:rsidRPr="00512C32" w:rsidRDefault="004F6143" w:rsidP="004F6143">
      <w:pPr>
        <w:jc w:val="both"/>
        <w:rPr>
          <w:rFonts w:asciiTheme="majorHAnsi" w:hAnsiTheme="majorHAnsi" w:cstheme="majorHAnsi"/>
          <w:sz w:val="8"/>
          <w:szCs w:val="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1134"/>
        <w:gridCol w:w="709"/>
        <w:gridCol w:w="709"/>
        <w:gridCol w:w="708"/>
        <w:gridCol w:w="993"/>
        <w:gridCol w:w="708"/>
        <w:gridCol w:w="709"/>
        <w:gridCol w:w="992"/>
        <w:gridCol w:w="709"/>
      </w:tblGrid>
      <w:tr w:rsidR="00235690" w:rsidRPr="00512C32" w14:paraId="730EE06B" w14:textId="77777777" w:rsidTr="00964441">
        <w:trPr>
          <w:trHeight w:val="1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E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35FD3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408F2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D43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F8240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8A90F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PERTENENCIA SOCIOLINGÜÍSTICA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E93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81B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RANGO DE EDAD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21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GRUPO ÉTNICO</w:t>
            </w:r>
          </w:p>
        </w:tc>
      </w:tr>
      <w:tr w:rsidR="00235690" w:rsidRPr="00512C32" w14:paraId="66BD2161" w14:textId="77777777" w:rsidTr="00964441">
        <w:trPr>
          <w:trHeight w:val="98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79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DADDA" w14:textId="460CA749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FEMENINO</w:t>
            </w:r>
          </w:p>
          <w:p w14:paraId="031346D0" w14:textId="07B1AB7E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5F4257DA" wp14:editId="0DBDE8F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17780</wp:posOffset>
                  </wp:positionV>
                  <wp:extent cx="255905" cy="451485"/>
                  <wp:effectExtent l="0" t="0" r="3175" b="2540"/>
                  <wp:wrapThrough wrapText="bothSides">
                    <wp:wrapPolygon edited="0">
                      <wp:start x="0" y="0"/>
                      <wp:lineTo x="0" y="20703"/>
                      <wp:lineTo x="20079" y="20703"/>
                      <wp:lineTo x="20079" y="0"/>
                      <wp:lineTo x="0" y="0"/>
                    </wp:wrapPolygon>
                  </wp:wrapThrough>
                  <wp:docPr id="7" name="Imagen 7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16552" r="52414" b="11724"/>
                          <a:stretch/>
                        </pic:blipFill>
                        <pic:spPr bwMode="auto">
                          <a:xfrm>
                            <a:off x="0" y="0"/>
                            <a:ext cx="25590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03909" w14:textId="67B9870A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MASCULINO</w:t>
            </w:r>
          </w:p>
          <w:p w14:paraId="537E6632" w14:textId="77777777" w:rsidR="00512C32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58E8CCD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4715A8" wp14:editId="1516C3E5">
                  <wp:extent cx="228600" cy="409575"/>
                  <wp:effectExtent l="0" t="0" r="0" b="9525"/>
                  <wp:docPr id="9" name="Imagen 9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72" t="15254" r="5650" b="11865"/>
                          <a:stretch/>
                        </pic:blipFill>
                        <pic:spPr bwMode="auto">
                          <a:xfrm>
                            <a:off x="0" y="0"/>
                            <a:ext cx="234377" cy="41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711E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15-30 AÑOS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75EF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31-59 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296C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60 + AÑOS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F057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LADINO O MESTIZO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8B4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5770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XINKA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46B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GARIFUNA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DFF0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</w:tr>
      <w:tr w:rsidR="00235690" w:rsidRPr="00512C32" w14:paraId="4574A11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9C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s-MX" w:eastAsia="es-MX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49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Achi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11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D1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6A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F9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5E6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7A7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354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D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64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E2E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90CC2C1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C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E4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Akateka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29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73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B9D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37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AE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815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5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2CA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C3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7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5CEED55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C2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73C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Awakateka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B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8D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0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9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C8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24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D5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4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3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14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A828B7C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2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AF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Chalchiteka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81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2F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C8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FF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B5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F01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9E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FB6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C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7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74897E4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22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37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Ch´orti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FA4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93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51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B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B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B11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9E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DE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F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BF5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3D4F2EDD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88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589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Chuj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38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9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B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14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22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005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A3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535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3F9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8D6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410CA9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F9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C6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Itza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53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AE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13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F4D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4B4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D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1F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D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E5C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E7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CC3F76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43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C10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Ixil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E3D" w14:textId="4E9F215E" w:rsidR="00235690" w:rsidRPr="00512C32" w:rsidRDefault="00CD7147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E7C" w14:textId="64C3C2C5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3A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B983" w14:textId="00AA0D11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5D3" w14:textId="5018B48A" w:rsidR="00235690" w:rsidRPr="00512C32" w:rsidRDefault="00CD7147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3453" w14:textId="75F89224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115E" w14:textId="5494A7C1" w:rsidR="00235690" w:rsidRPr="00512C32" w:rsidRDefault="00CD7147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C5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8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05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A29A0A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9E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28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94D" w14:textId="6794ED35" w:rsidR="00235690" w:rsidRPr="00512C32" w:rsidRDefault="00B22803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207" w14:textId="25F14CFD" w:rsidR="0040215E" w:rsidRPr="00512C32" w:rsidRDefault="00B22803" w:rsidP="0040215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555" w14:textId="78E54EC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8BD" w14:textId="1EC4957C" w:rsidR="00235690" w:rsidRPr="00512C32" w:rsidRDefault="00B22803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09B" w14:textId="2DD4911A" w:rsidR="00235690" w:rsidRPr="00512C32" w:rsidRDefault="00CD7147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8AE6" w14:textId="47649BA2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6310" w14:textId="073DD061" w:rsidR="00235690" w:rsidRPr="00512C32" w:rsidRDefault="00B22803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78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8C0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8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742CCB2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5A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588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K´iche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61A" w14:textId="1A4A3864" w:rsidR="00235690" w:rsidRPr="00512C32" w:rsidRDefault="00442E6D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92B" w14:textId="1219E293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24F" w14:textId="4FB5A7C7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7034" w14:textId="1B13B8DF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AE0" w14:textId="6C06F252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100" w14:textId="43EEA479" w:rsidR="00235690" w:rsidRPr="00512C32" w:rsidRDefault="006C4C44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DBC" w14:textId="203B9420" w:rsidR="00235690" w:rsidRPr="00512C32" w:rsidRDefault="006C4C44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ABE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49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874" w14:textId="1B5BE13F" w:rsidR="00235690" w:rsidRPr="00512C32" w:rsidRDefault="002A263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23CA353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97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19B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Mam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AC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2B1" w14:textId="46E22F65" w:rsidR="00235690" w:rsidRPr="00512C32" w:rsidRDefault="00CD7147" w:rsidP="008F3E70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D9B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986" w14:textId="2F472FB4" w:rsidR="00235690" w:rsidRPr="00512C32" w:rsidRDefault="00CD7147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BC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D2A" w14:textId="21CE0894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B5BF" w14:textId="379816CF" w:rsidR="00235690" w:rsidRPr="00512C32" w:rsidRDefault="00CD7147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0C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650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83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33BCF9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D8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67D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Mopan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44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DD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88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4ED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FA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6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4AB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6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CE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C1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23328BA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A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2FF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Jakalteka</w:t>
            </w:r>
            <w:proofErr w:type="spellEnd"/>
            <w:r w:rsidRPr="00512C32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2C32">
              <w:rPr>
                <w:rFonts w:asciiTheme="majorHAnsi" w:hAnsiTheme="majorHAnsi" w:cstheme="majorHAnsi"/>
              </w:rPr>
              <w:t>popti</w:t>
            </w:r>
            <w:proofErr w:type="spellEnd"/>
            <w:r w:rsidRPr="00512C32">
              <w:rPr>
                <w:rFonts w:asciiTheme="majorHAnsi" w:hAnsiTheme="majorHAnsi" w:cstheme="majorHAnsi"/>
              </w:rPr>
              <w:t>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DC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664D" w14:textId="443B9F1C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BD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8E7" w14:textId="098FBB50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6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FE8" w14:textId="41824A07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4E7" w14:textId="433E7C69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1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43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8A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F046F9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95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FF5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Poqomam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9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B87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BC1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A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E9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BE8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3A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26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65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D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70F5F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90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F92" w14:textId="166DE442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P</w:t>
            </w:r>
            <w:r w:rsidR="00B575C5">
              <w:rPr>
                <w:rFonts w:asciiTheme="majorHAnsi" w:hAnsiTheme="majorHAnsi" w:cstheme="majorHAnsi"/>
              </w:rPr>
              <w:t>aajtal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394" w14:textId="2744C836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CF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DFE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1FA" w14:textId="517AFC56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F9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A1EE" w14:textId="726BBC65" w:rsidR="00235690" w:rsidRPr="00512C32" w:rsidRDefault="006C4C44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D69" w14:textId="05EE9FAC" w:rsidR="00235690" w:rsidRPr="00512C32" w:rsidRDefault="006C4C44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69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49B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8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940882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4F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8AC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Q´anjob´al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DC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C0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5A7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0A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08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3E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2C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B4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1E7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E11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03155B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B3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76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Q´eqchi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C7C" w14:textId="7213568F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CFB" w14:textId="3F640C1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8D71" w14:textId="35BCB9DC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141A" w14:textId="12287087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A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010" w14:textId="43D6E4DA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A1B" w14:textId="476B6C36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4E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61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2DC" w14:textId="1E76E652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</w:tr>
      <w:tr w:rsidR="00235690" w:rsidRPr="00512C32" w14:paraId="1B6FAA9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F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42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Sakapulteka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A14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2E7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AF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C80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83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A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4E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D3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EB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71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2219CE2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6C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A0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Sipakapense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72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B0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66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1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8B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BA3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0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8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9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D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7736ED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82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1C0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Tektiteka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8F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93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E3E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0E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04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7A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066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02E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F9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11251E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9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16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Tz´utujil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EB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DB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C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7F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67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D1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3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D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F8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66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FB2C5C7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74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6A7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Uspanteka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FA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82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FF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E09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8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0DE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334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FC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F7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664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5CD7C61F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332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3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Garífuna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A31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524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016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2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C0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D86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83B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230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65F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01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08BADA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5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88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Xinka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54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45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77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D9B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26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2D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91C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EF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E61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E25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1D8F18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79D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D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Español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6E2" w14:textId="6BE6B0A8" w:rsidR="008F3E7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1EC9" w14:textId="257D4330" w:rsidR="0041311B" w:rsidRPr="00512C32" w:rsidRDefault="00B575C5" w:rsidP="0041311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830" w14:textId="18DA43BE" w:rsidR="00C16A30" w:rsidRPr="00512C32" w:rsidRDefault="00B575C5" w:rsidP="00C16A30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03F6" w14:textId="26E62375" w:rsidR="00442E6D" w:rsidRPr="00512C32" w:rsidRDefault="00B575C5" w:rsidP="00DC2387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287" w14:textId="1E75E8C4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FD2" w14:textId="0A34E420" w:rsidR="002E0461" w:rsidRPr="00512C32" w:rsidRDefault="00B575C5" w:rsidP="002E046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1,836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461" w14:textId="5C379A3E" w:rsidR="00235690" w:rsidRPr="00512C32" w:rsidRDefault="00B22803" w:rsidP="0041311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A75" w14:textId="39F7384C" w:rsidR="00235690" w:rsidRPr="00512C32" w:rsidRDefault="00B22803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ED58" w14:textId="7DDA4788" w:rsidR="00235690" w:rsidRPr="00512C32" w:rsidRDefault="00B22803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D58" w14:textId="526EA065" w:rsidR="00235690" w:rsidRPr="00512C32" w:rsidRDefault="00B575C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</w:tr>
      <w:tr w:rsidR="000D5A14" w:rsidRPr="00512C32" w14:paraId="3EF8863B" w14:textId="77777777" w:rsidTr="00497937">
        <w:trPr>
          <w:trHeight w:val="40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C42" w14:textId="5ECBDC59" w:rsidR="000D5A14" w:rsidRPr="00512C32" w:rsidRDefault="000D5A14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E32" w14:textId="7C092D9D" w:rsidR="000D5A14" w:rsidRPr="00512C32" w:rsidRDefault="00B575C5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56C" w14:textId="771CF076" w:rsidR="000D5A14" w:rsidRPr="00512C32" w:rsidRDefault="00B575C5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13A" w14:textId="1A8D0D06" w:rsidR="000D5A14" w:rsidRPr="00512C32" w:rsidRDefault="00B575C5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2BD6" w14:textId="0A929868" w:rsidR="000D5A14" w:rsidRPr="00512C32" w:rsidRDefault="00B575C5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DB1" w14:textId="23C290D3" w:rsidR="000D5A14" w:rsidRPr="00512C32" w:rsidRDefault="00B575C5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18</w:t>
            </w:r>
            <w:r w:rsidR="006C4C4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E0C" w14:textId="04CE923B" w:rsidR="000D5A14" w:rsidRPr="00512C32" w:rsidRDefault="00B575C5" w:rsidP="00EC767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1,8</w:t>
            </w:r>
            <w:r w:rsidR="006C4C4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7AA" w14:textId="5CE26C88" w:rsidR="000D5A14" w:rsidRPr="00512C32" w:rsidRDefault="006C4C44" w:rsidP="0002570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5A3" w14:textId="490520B3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1E0" w14:textId="64C4466C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90A" w14:textId="0DEED031" w:rsidR="000D5A14" w:rsidRPr="00512C32" w:rsidRDefault="00B575C5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14:paraId="082AE6BE" w14:textId="77F31B7D" w:rsidR="00FF2B1E" w:rsidRPr="00512C32" w:rsidRDefault="00FF2B1E" w:rsidP="00291E19">
      <w:pPr>
        <w:ind w:left="-1134"/>
        <w:rPr>
          <w:rFonts w:asciiTheme="majorHAnsi" w:hAnsiTheme="majorHAnsi" w:cstheme="majorHAnsi"/>
          <w:b/>
          <w:bCs/>
        </w:rPr>
      </w:pPr>
    </w:p>
    <w:p w14:paraId="44F1059B" w14:textId="77777777" w:rsidR="00A86F08" w:rsidRPr="00512C32" w:rsidRDefault="00A86F08" w:rsidP="00A86F08">
      <w:pPr>
        <w:shd w:val="clear" w:color="auto" w:fill="FFFFFF"/>
        <w:ind w:left="-993" w:right="-108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9A73DF8" w14:textId="77777777" w:rsidR="00A86F08" w:rsidRPr="00512C32" w:rsidRDefault="00A86F08" w:rsidP="009E639D">
      <w:pPr>
        <w:spacing w:line="276" w:lineRule="auto"/>
        <w:ind w:left="-1134"/>
        <w:rPr>
          <w:rFonts w:asciiTheme="majorHAnsi" w:hAnsiTheme="majorHAnsi" w:cstheme="majorHAnsi"/>
          <w:b/>
          <w:bCs/>
        </w:rPr>
      </w:pPr>
    </w:p>
    <w:p w14:paraId="44728285" w14:textId="780608BF" w:rsidR="00A86F08" w:rsidRPr="00512C32" w:rsidRDefault="00A86F08" w:rsidP="009E639D">
      <w:pPr>
        <w:spacing w:line="276" w:lineRule="auto"/>
        <w:ind w:left="-1134"/>
        <w:rPr>
          <w:rFonts w:asciiTheme="majorHAnsi" w:hAnsiTheme="majorHAnsi" w:cstheme="majorHAnsi"/>
          <w:b/>
          <w:bCs/>
        </w:rPr>
      </w:pPr>
    </w:p>
    <w:p w14:paraId="576E06AE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512C32">
        <w:rPr>
          <w:rFonts w:asciiTheme="majorHAnsi" w:hAnsiTheme="majorHAnsi" w:cstheme="majorHAnsi"/>
          <w:b/>
          <w:bCs/>
        </w:rPr>
        <w:t xml:space="preserve">Descripción </w:t>
      </w:r>
      <w:r w:rsidRPr="00512C32">
        <w:rPr>
          <w:rFonts w:asciiTheme="majorHAnsi" w:hAnsiTheme="majorHAnsi" w:cstheme="majorHAnsi"/>
          <w:b/>
        </w:rPr>
        <w:t xml:space="preserve">de la recopilación de los datos </w:t>
      </w:r>
    </w:p>
    <w:p w14:paraId="44EB388C" w14:textId="33031941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67B3F67" w14:textId="167AB662" w:rsidR="005422A6" w:rsidRPr="00AA36D8" w:rsidRDefault="009E639D" w:rsidP="00AA36D8">
      <w:pPr>
        <w:spacing w:line="276" w:lineRule="auto"/>
        <w:jc w:val="both"/>
        <w:rPr>
          <w:rFonts w:ascii="Calibri Light" w:hAnsi="Calibri Light" w:cs="Calibri Light"/>
        </w:rPr>
      </w:pPr>
      <w:r w:rsidRPr="00512C32">
        <w:rPr>
          <w:rFonts w:asciiTheme="majorHAnsi" w:hAnsiTheme="majorHAnsi" w:cstheme="majorHAnsi"/>
          <w:bCs/>
        </w:rPr>
        <w:t>L</w:t>
      </w:r>
      <w:r w:rsidRPr="00512C32">
        <w:rPr>
          <w:rFonts w:asciiTheme="majorHAnsi" w:hAnsiTheme="majorHAnsi" w:cstheme="majorHAnsi"/>
        </w:rPr>
        <w:t xml:space="preserve">a recopilación de datos de los usuarios que utilizan los servicios del Ministerio de Energía y Minas, son con fines </w:t>
      </w:r>
      <w:r w:rsidR="00196866" w:rsidRPr="00512C32">
        <w:rPr>
          <w:rFonts w:asciiTheme="majorHAnsi" w:hAnsiTheme="majorHAnsi" w:cstheme="majorHAnsi"/>
        </w:rPr>
        <w:t xml:space="preserve">estadísticos y </w:t>
      </w:r>
      <w:r w:rsidRPr="00512C32">
        <w:rPr>
          <w:rFonts w:asciiTheme="majorHAnsi" w:hAnsiTheme="majorHAnsi" w:cstheme="majorHAnsi"/>
        </w:rPr>
        <w:t xml:space="preserve">de cumplimiento normativo, a continuación, se describen los datos ordenados recabados durante el mes de </w:t>
      </w:r>
      <w:r w:rsidR="00B575C5">
        <w:rPr>
          <w:rFonts w:asciiTheme="majorHAnsi" w:hAnsiTheme="majorHAnsi" w:cstheme="majorHAnsi"/>
          <w:b/>
          <w:bCs/>
        </w:rPr>
        <w:t>noviem</w:t>
      </w:r>
      <w:r w:rsidR="00A47DBC" w:rsidRPr="00C12DC8">
        <w:rPr>
          <w:rFonts w:asciiTheme="majorHAnsi" w:hAnsiTheme="majorHAnsi" w:cstheme="majorHAnsi"/>
          <w:b/>
          <w:bCs/>
        </w:rPr>
        <w:t>bre</w:t>
      </w:r>
      <w:r w:rsidR="00AC6105" w:rsidRPr="00C12DC8">
        <w:rPr>
          <w:rFonts w:asciiTheme="majorHAnsi" w:hAnsiTheme="majorHAnsi" w:cstheme="majorHAnsi"/>
          <w:b/>
          <w:bCs/>
        </w:rPr>
        <w:t xml:space="preserve"> 2024</w:t>
      </w:r>
      <w:r w:rsidR="00D3222C" w:rsidRPr="00512C32">
        <w:rPr>
          <w:rFonts w:asciiTheme="majorHAnsi" w:hAnsiTheme="majorHAnsi" w:cstheme="majorHAnsi"/>
          <w:bCs/>
        </w:rPr>
        <w:t>.</w:t>
      </w:r>
      <w:r w:rsidR="00AA36D8">
        <w:rPr>
          <w:rFonts w:asciiTheme="majorHAnsi" w:hAnsiTheme="majorHAnsi" w:cstheme="majorHAnsi"/>
          <w:bCs/>
        </w:rPr>
        <w:t xml:space="preserve"> </w:t>
      </w:r>
      <w:r w:rsidR="000E67F6" w:rsidRPr="00AA36D8">
        <w:rPr>
          <w:rFonts w:ascii="Calibri Light" w:hAnsi="Calibri Light" w:cs="Calibri Light"/>
        </w:rPr>
        <w:t xml:space="preserve">El proceso de </w:t>
      </w:r>
      <w:r w:rsidR="00A86F08" w:rsidRPr="00AA36D8">
        <w:rPr>
          <w:rFonts w:ascii="Calibri Light" w:hAnsi="Calibri Light" w:cs="Calibri Light"/>
        </w:rPr>
        <w:t>clasificación</w:t>
      </w:r>
      <w:r w:rsidR="000E67F6" w:rsidRPr="00AA36D8">
        <w:rPr>
          <w:rFonts w:ascii="Calibri Light" w:hAnsi="Calibri Light" w:cs="Calibri Light"/>
        </w:rPr>
        <w:t xml:space="preserve"> de los datos ya identificados, son</w:t>
      </w:r>
      <w:r w:rsidR="00A86F08" w:rsidRPr="00AA36D8">
        <w:rPr>
          <w:rFonts w:ascii="Calibri Light" w:hAnsi="Calibri Light" w:cs="Calibri Light"/>
        </w:rPr>
        <w:t xml:space="preserve"> de las personas atendidas en las oficinas centrales de</w:t>
      </w:r>
      <w:r w:rsidRPr="00AA36D8">
        <w:rPr>
          <w:rFonts w:ascii="Calibri Light" w:hAnsi="Calibri Light" w:cs="Calibri Light"/>
        </w:rPr>
        <w:t xml:space="preserve"> este</w:t>
      </w:r>
      <w:r w:rsidR="00A86F08" w:rsidRPr="00AA36D8">
        <w:rPr>
          <w:rFonts w:ascii="Calibri Light" w:hAnsi="Calibri Light" w:cs="Calibri Light"/>
        </w:rPr>
        <w:t xml:space="preserve"> ministerio</w:t>
      </w:r>
      <w:r w:rsidR="00AA36D8">
        <w:rPr>
          <w:rFonts w:ascii="Calibri Light" w:hAnsi="Calibri Light" w:cs="Calibri Light"/>
        </w:rPr>
        <w:t xml:space="preserve">, </w:t>
      </w:r>
      <w:r w:rsidR="00A86F08" w:rsidRPr="00AA36D8">
        <w:rPr>
          <w:rFonts w:ascii="Calibri Light" w:hAnsi="Calibri Light" w:cs="Calibri Light"/>
        </w:rPr>
        <w:t>la Dirección General de Energía</w:t>
      </w:r>
      <w:r w:rsidRPr="00AA36D8">
        <w:rPr>
          <w:rFonts w:ascii="Calibri Light" w:hAnsi="Calibri Light" w:cs="Calibri Light"/>
        </w:rPr>
        <w:t xml:space="preserve"> y los portales electrónicos</w:t>
      </w:r>
      <w:r w:rsidR="00A86F08" w:rsidRPr="00AA36D8">
        <w:rPr>
          <w:rFonts w:ascii="Calibri Light" w:hAnsi="Calibri Light" w:cs="Calibri Light"/>
        </w:rPr>
        <w:t xml:space="preserve">, </w:t>
      </w:r>
      <w:r w:rsidR="00630A86" w:rsidRPr="00AA36D8">
        <w:rPr>
          <w:rFonts w:ascii="Calibri Light" w:hAnsi="Calibri Light" w:cs="Calibri Light"/>
        </w:rPr>
        <w:t xml:space="preserve">no </w:t>
      </w:r>
      <w:r w:rsidR="009A59AD" w:rsidRPr="00AA36D8">
        <w:rPr>
          <w:rFonts w:ascii="Calibri Light" w:hAnsi="Calibri Light" w:cs="Calibri Light"/>
        </w:rPr>
        <w:t>obstante,</w:t>
      </w:r>
      <w:r w:rsidR="00630A86" w:rsidRPr="00AA36D8">
        <w:rPr>
          <w:rFonts w:ascii="Calibri Light" w:hAnsi="Calibri Light" w:cs="Calibri Light"/>
        </w:rPr>
        <w:t xml:space="preserve"> dentro del grupo de personas </w:t>
      </w:r>
      <w:r w:rsidR="009A59AD" w:rsidRPr="00AA36D8">
        <w:rPr>
          <w:rFonts w:ascii="Calibri Light" w:hAnsi="Calibri Light" w:cs="Calibri Light"/>
        </w:rPr>
        <w:t xml:space="preserve">atendidas </w:t>
      </w:r>
      <w:r w:rsidR="009A59AD">
        <w:rPr>
          <w:rFonts w:ascii="Calibri Light" w:hAnsi="Calibri Light" w:cs="Calibri Light"/>
        </w:rPr>
        <w:t>hubo</w:t>
      </w:r>
      <w:r w:rsidR="00C12DC8">
        <w:rPr>
          <w:rFonts w:ascii="Calibri Light" w:hAnsi="Calibri Light" w:cs="Calibri Light"/>
        </w:rPr>
        <w:t xml:space="preserve"> </w:t>
      </w:r>
      <w:r w:rsidR="006C4C44">
        <w:rPr>
          <w:rFonts w:ascii="Calibri Light" w:hAnsi="Calibri Light" w:cs="Calibri Light"/>
        </w:rPr>
        <w:t xml:space="preserve">12 </w:t>
      </w:r>
      <w:r w:rsidR="00630A86" w:rsidRPr="00C12DC8">
        <w:rPr>
          <w:rFonts w:ascii="Calibri Light" w:hAnsi="Calibri Light" w:cs="Calibri Light"/>
        </w:rPr>
        <w:t>persona</w:t>
      </w:r>
      <w:r w:rsidR="000D5A14" w:rsidRPr="00C12DC8">
        <w:rPr>
          <w:rFonts w:ascii="Calibri Light" w:hAnsi="Calibri Light" w:cs="Calibri Light"/>
        </w:rPr>
        <w:t xml:space="preserve">s </w:t>
      </w:r>
      <w:r w:rsidR="00630A86" w:rsidRPr="00C12DC8">
        <w:rPr>
          <w:rFonts w:ascii="Calibri Light" w:hAnsi="Calibri Light" w:cs="Calibri Light"/>
        </w:rPr>
        <w:t>del grupo étnico maya</w:t>
      </w:r>
      <w:r w:rsidR="00630A86" w:rsidRPr="00AA36D8">
        <w:rPr>
          <w:rFonts w:ascii="Calibri Light" w:hAnsi="Calibri Light" w:cs="Calibri Light"/>
        </w:rPr>
        <w:t xml:space="preserve">, no se tuvo ninguna barrera con el idioma ya que </w:t>
      </w:r>
      <w:r w:rsidR="005422A6" w:rsidRPr="00AA36D8">
        <w:rPr>
          <w:rFonts w:ascii="Calibri Light" w:hAnsi="Calibri Light" w:cs="Calibri Light"/>
        </w:rPr>
        <w:t xml:space="preserve">los usuarios </w:t>
      </w:r>
      <w:r w:rsidR="00630A86" w:rsidRPr="00AA36D8">
        <w:rPr>
          <w:rFonts w:ascii="Calibri Light" w:hAnsi="Calibri Light" w:cs="Calibri Light"/>
        </w:rPr>
        <w:t>también hablan español, permitiendo</w:t>
      </w:r>
      <w:r w:rsidR="00A86F08" w:rsidRPr="00AA36D8">
        <w:rPr>
          <w:rFonts w:ascii="Calibri Light" w:hAnsi="Calibri Light" w:cs="Calibri Light"/>
        </w:rPr>
        <w:t xml:space="preserve"> la facilidad de</w:t>
      </w:r>
      <w:r w:rsidR="000E67F6" w:rsidRPr="00AA36D8">
        <w:rPr>
          <w:rFonts w:ascii="Calibri Light" w:hAnsi="Calibri Light" w:cs="Calibri Light"/>
        </w:rPr>
        <w:t xml:space="preserve"> comunicación</w:t>
      </w:r>
      <w:r w:rsidR="006E5FBF">
        <w:rPr>
          <w:rFonts w:ascii="Calibri Light" w:hAnsi="Calibri Light" w:cs="Calibri Light"/>
        </w:rPr>
        <w:t>. A</w:t>
      </w:r>
      <w:r w:rsidR="005422A6" w:rsidRPr="00AA36D8">
        <w:rPr>
          <w:rFonts w:ascii="Calibri Light" w:hAnsi="Calibri Light" w:cs="Calibri Light"/>
        </w:rPr>
        <w:t>sí mismo</w:t>
      </w:r>
      <w:r w:rsidR="006E5FBF">
        <w:rPr>
          <w:rFonts w:ascii="Calibri Light" w:hAnsi="Calibri Light" w:cs="Calibri Light"/>
        </w:rPr>
        <w:t>,</w:t>
      </w:r>
      <w:r w:rsidR="005422A6" w:rsidRPr="00AA36D8">
        <w:rPr>
          <w:rFonts w:ascii="Calibri Light" w:hAnsi="Calibri Light" w:cs="Calibri Light"/>
        </w:rPr>
        <w:t xml:space="preserve"> dentro del personal que brinda los servicios a la población posee las habilidades de comunicación en distintos</w:t>
      </w:r>
      <w:r w:rsidR="00AA36D8" w:rsidRPr="00AA36D8">
        <w:rPr>
          <w:rFonts w:ascii="Calibri Light" w:hAnsi="Calibri Light" w:cs="Calibri Light"/>
        </w:rPr>
        <w:t xml:space="preserve"> idiomas propios de las comunidades lingüísticas</w:t>
      </w:r>
    </w:p>
    <w:p w14:paraId="6FCF3B2B" w14:textId="77777777" w:rsidR="005422A6" w:rsidRPr="00AA36D8" w:rsidRDefault="005422A6" w:rsidP="005422A6">
      <w:pPr>
        <w:jc w:val="both"/>
      </w:pPr>
    </w:p>
    <w:p w14:paraId="4ACF2EC6" w14:textId="6031C541" w:rsidR="00BC53CA" w:rsidRPr="00A47DBC" w:rsidRDefault="00AA36D8" w:rsidP="00BC53CA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2. </w:t>
      </w:r>
      <w:r w:rsidR="00A47DBC" w:rsidRPr="00A47DBC">
        <w:rPr>
          <w:rFonts w:ascii="Calibri Light" w:hAnsi="Calibri Light" w:cs="Calibri Light"/>
          <w:b/>
          <w:bCs/>
        </w:rPr>
        <w:t>Análisis de las e</w:t>
      </w:r>
      <w:r w:rsidR="00BC53CA" w:rsidRPr="00A47DBC">
        <w:rPr>
          <w:rFonts w:ascii="Calibri Light" w:hAnsi="Calibri Light" w:cs="Calibri Light"/>
          <w:b/>
          <w:bCs/>
        </w:rPr>
        <w:t>stadísticas de la pertenencia lingüística de usuarios del Ministerio de Energía y Minas</w:t>
      </w:r>
    </w:p>
    <w:p w14:paraId="09424B0F" w14:textId="77777777" w:rsidR="00BC53CA" w:rsidRDefault="00BC53CA" w:rsidP="00BC53CA">
      <w:pPr>
        <w:spacing w:line="276" w:lineRule="auto"/>
        <w:jc w:val="both"/>
      </w:pPr>
    </w:p>
    <w:p w14:paraId="520D4D3E" w14:textId="76AEEFF7" w:rsidR="00BC53CA" w:rsidRDefault="008A066B" w:rsidP="00BC53CA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4EC9E" wp14:editId="3738B1BC">
                <wp:simplePos x="0" y="0"/>
                <wp:positionH relativeFrom="margin">
                  <wp:posOffset>3348848</wp:posOffset>
                </wp:positionH>
                <wp:positionV relativeFrom="paragraph">
                  <wp:posOffset>131445</wp:posOffset>
                </wp:positionV>
                <wp:extent cx="2536166" cy="2950234"/>
                <wp:effectExtent l="0" t="0" r="0" b="25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66" cy="29502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AB351" w14:textId="73177F4E" w:rsidR="008A066B" w:rsidRPr="00512C32" w:rsidRDefault="008A066B" w:rsidP="008A066B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12C3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Observación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y análisis de los datos recabados </w:t>
                            </w:r>
                            <w:r w:rsidR="006E5FB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 pertenencia sociolingüística </w:t>
                            </w:r>
                          </w:p>
                          <w:p w14:paraId="15BE2636" w14:textId="77777777" w:rsidR="008A066B" w:rsidRPr="00512C32" w:rsidRDefault="008A066B" w:rsidP="008A066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ACC9BCA" w14:textId="1B55E276" w:rsidR="008A066B" w:rsidRPr="00512C32" w:rsidRDefault="008A066B" w:rsidP="008A066B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 xml:space="preserve">De conformidad con los datos recabados durante el presente mes, se atendió un total de mil </w:t>
                            </w:r>
                            <w:r w:rsidR="006C4C44">
                              <w:rPr>
                                <w:rFonts w:asciiTheme="majorHAnsi" w:hAnsiTheme="majorHAnsi" w:cstheme="majorHAnsi"/>
                              </w:rPr>
                              <w:t>ochocientos cincuenta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>(1,</w:t>
                            </w:r>
                            <w:r w:rsidR="006C4C44">
                              <w:rPr>
                                <w:rFonts w:asciiTheme="majorHAnsi" w:hAnsiTheme="majorHAnsi" w:cstheme="majorHAnsi"/>
                              </w:rPr>
                              <w:t>850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>) personas, identificadas con su pertenencia sociolingüística y grupo étnico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 xml:space="preserve"> ladino o mestizo, con una representación femenina de </w:t>
                            </w:r>
                            <w:r w:rsidR="006C4C44">
                              <w:rPr>
                                <w:rFonts w:asciiTheme="majorHAnsi" w:hAnsiTheme="majorHAnsi" w:cstheme="majorHAnsi"/>
                              </w:rPr>
                              <w:t xml:space="preserve">trescientos veintiocho 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="006C4C44">
                              <w:rPr>
                                <w:rFonts w:asciiTheme="majorHAnsi" w:hAnsiTheme="majorHAnsi" w:cstheme="majorHAnsi"/>
                              </w:rPr>
                              <w:t>328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 xml:space="preserve">) y representación masculina de mil </w:t>
                            </w:r>
                            <w:r w:rsidR="006C4C44">
                              <w:rPr>
                                <w:rFonts w:asciiTheme="majorHAnsi" w:hAnsiTheme="majorHAnsi" w:cstheme="majorHAnsi"/>
                              </w:rPr>
                              <w:t>quinientos veintidós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>(1,</w:t>
                            </w:r>
                            <w:r w:rsidR="006C4C44">
                              <w:rPr>
                                <w:rFonts w:asciiTheme="majorHAnsi" w:hAnsiTheme="majorHAnsi" w:cstheme="majorHAnsi"/>
                              </w:rPr>
                              <w:t>522</w:t>
                            </w:r>
                            <w:r w:rsidRPr="00512C32">
                              <w:rPr>
                                <w:rFonts w:asciiTheme="majorHAnsi" w:hAnsiTheme="majorHAnsi" w:cstheme="majorHAnsi"/>
                              </w:rPr>
                              <w:t xml:space="preserve">). </w:t>
                            </w:r>
                          </w:p>
                          <w:p w14:paraId="66AC6063" w14:textId="77777777" w:rsidR="008A066B" w:rsidRDefault="008A066B" w:rsidP="008A066B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AC8345B" w14:textId="4D8D62B2" w:rsidR="008A066B" w:rsidRDefault="008A066B" w:rsidP="008A066B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410261F" w14:textId="3A935CD6" w:rsidR="008A066B" w:rsidRDefault="008A066B" w:rsidP="008A066B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25D54F5" w14:textId="11912555" w:rsidR="008A066B" w:rsidRDefault="008A066B" w:rsidP="008A066B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851D7B1" w14:textId="46CC626A" w:rsidR="008A066B" w:rsidRDefault="008A066B" w:rsidP="008A066B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9E8506E" w14:textId="77777777" w:rsidR="008A066B" w:rsidRPr="008A066B" w:rsidRDefault="008A066B" w:rsidP="008A066B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4EC9E" id="Rectángulo 19" o:spid="_x0000_s1027" style="position:absolute;left:0;text-align:left;margin-left:263.7pt;margin-top:10.35pt;width:199.7pt;height:23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" filled="f" stroked="f" strokeweight="1pt">
                <v:textbox>
                  <w:txbxContent>
                    <w:p w14:paraId="7DFAB351" w14:textId="73177F4E" w:rsidR="008A066B" w:rsidRPr="00512C32" w:rsidRDefault="008A066B" w:rsidP="008A066B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512C32">
                        <w:rPr>
                          <w:rFonts w:asciiTheme="majorHAnsi" w:hAnsiTheme="majorHAnsi" w:cstheme="majorHAnsi"/>
                          <w:b/>
                          <w:bCs/>
                        </w:rPr>
                        <w:t>Observación</w:t>
                      </w:r>
                      <w:r w:rsidRPr="00512C32">
                        <w:rPr>
                          <w:rFonts w:asciiTheme="majorHAnsi" w:hAnsiTheme="majorHAnsi" w:cstheme="majorHAnsi"/>
                          <w:b/>
                        </w:rPr>
                        <w:t xml:space="preserve"> y análisis de los datos recabados </w:t>
                      </w:r>
                      <w:r w:rsidR="006E5FBF">
                        <w:rPr>
                          <w:rFonts w:asciiTheme="majorHAnsi" w:hAnsiTheme="majorHAnsi" w:cstheme="majorHAnsi"/>
                          <w:b/>
                        </w:rPr>
                        <w:t xml:space="preserve">de pertenencia sociolingüística </w:t>
                      </w:r>
                    </w:p>
                    <w:p w14:paraId="15BE2636" w14:textId="77777777" w:rsidR="008A066B" w:rsidRPr="00512C32" w:rsidRDefault="008A066B" w:rsidP="008A066B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ACC9BCA" w14:textId="1B55E276" w:rsidR="008A066B" w:rsidRPr="00512C32" w:rsidRDefault="008A066B" w:rsidP="008A066B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512C32">
                        <w:rPr>
                          <w:rFonts w:asciiTheme="majorHAnsi" w:hAnsiTheme="majorHAnsi" w:cstheme="majorHAnsi"/>
                        </w:rPr>
                        <w:t xml:space="preserve">De conformidad con los datos recabados durante el presente mes, se atendió un total de mil </w:t>
                      </w:r>
                      <w:r w:rsidR="006C4C44">
                        <w:rPr>
                          <w:rFonts w:asciiTheme="majorHAnsi" w:hAnsiTheme="majorHAnsi" w:cstheme="majorHAnsi"/>
                        </w:rPr>
                        <w:t>ochocientos cincuenta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>(1,</w:t>
                      </w:r>
                      <w:r w:rsidR="006C4C44">
                        <w:rPr>
                          <w:rFonts w:asciiTheme="majorHAnsi" w:hAnsiTheme="majorHAnsi" w:cstheme="majorHAnsi"/>
                        </w:rPr>
                        <w:t>850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>) personas, identificadas con su pertenencia sociolingüística y grupo étnico</w:t>
                      </w:r>
                      <w:r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 xml:space="preserve"> ladino o mestizo, con una representación femenina de </w:t>
                      </w:r>
                      <w:r w:rsidR="006C4C44">
                        <w:rPr>
                          <w:rFonts w:asciiTheme="majorHAnsi" w:hAnsiTheme="majorHAnsi" w:cstheme="majorHAnsi"/>
                        </w:rPr>
                        <w:t xml:space="preserve">trescientos veintiocho 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="006C4C44">
                        <w:rPr>
                          <w:rFonts w:asciiTheme="majorHAnsi" w:hAnsiTheme="majorHAnsi" w:cstheme="majorHAnsi"/>
                        </w:rPr>
                        <w:t>328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 xml:space="preserve">) y representación masculina de mil </w:t>
                      </w:r>
                      <w:r w:rsidR="006C4C44">
                        <w:rPr>
                          <w:rFonts w:asciiTheme="majorHAnsi" w:hAnsiTheme="majorHAnsi" w:cstheme="majorHAnsi"/>
                        </w:rPr>
                        <w:t>quinientos veintidós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>(1,</w:t>
                      </w:r>
                      <w:r w:rsidR="006C4C44">
                        <w:rPr>
                          <w:rFonts w:asciiTheme="majorHAnsi" w:hAnsiTheme="majorHAnsi" w:cstheme="majorHAnsi"/>
                        </w:rPr>
                        <w:t>522</w:t>
                      </w:r>
                      <w:r w:rsidRPr="00512C32">
                        <w:rPr>
                          <w:rFonts w:asciiTheme="majorHAnsi" w:hAnsiTheme="majorHAnsi" w:cstheme="majorHAnsi"/>
                        </w:rPr>
                        <w:t xml:space="preserve">). </w:t>
                      </w:r>
                    </w:p>
                    <w:p w14:paraId="66AC6063" w14:textId="77777777" w:rsidR="008A066B" w:rsidRDefault="008A066B" w:rsidP="008A066B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5AC8345B" w14:textId="4D8D62B2" w:rsidR="008A066B" w:rsidRDefault="008A066B" w:rsidP="008A066B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4410261F" w14:textId="3A935CD6" w:rsidR="008A066B" w:rsidRDefault="008A066B" w:rsidP="008A066B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425D54F5" w14:textId="11912555" w:rsidR="008A066B" w:rsidRDefault="008A066B" w:rsidP="008A066B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0851D7B1" w14:textId="46CC626A" w:rsidR="008A066B" w:rsidRDefault="008A066B" w:rsidP="008A066B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29E8506E" w14:textId="77777777" w:rsidR="008A066B" w:rsidRPr="008A066B" w:rsidRDefault="008A066B" w:rsidP="008A066B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A42FEC" w14:textId="1FD56F91" w:rsidR="00BC53CA" w:rsidRDefault="009A59AD" w:rsidP="009A59AD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A25CC51" wp14:editId="4715D31F">
            <wp:extent cx="3144636" cy="2223220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85" cy="2246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51B3B" w14:textId="19D4C384" w:rsidR="00CC3C0A" w:rsidRDefault="009A59AD" w:rsidP="009E63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3EA57E4" wp14:editId="3DCB5110">
            <wp:extent cx="725170" cy="18288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A01B9" w14:textId="77777777" w:rsidR="00C564AA" w:rsidRPr="00C564AA" w:rsidRDefault="00C564AA" w:rsidP="009E639D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8FDE579" w14:textId="10C1AE11" w:rsidR="006E5FBF" w:rsidRDefault="009A59AD" w:rsidP="009E63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76A4D" wp14:editId="4302B0BF">
                <wp:simplePos x="0" y="0"/>
                <wp:positionH relativeFrom="margin">
                  <wp:posOffset>3440430</wp:posOffset>
                </wp:positionH>
                <wp:positionV relativeFrom="paragraph">
                  <wp:posOffset>118356</wp:posOffset>
                </wp:positionV>
                <wp:extent cx="2442949" cy="2266591"/>
                <wp:effectExtent l="0" t="0" r="0" b="6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22665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D7CD68" w14:textId="77777777" w:rsidR="006E5FBF" w:rsidRPr="00A47DBC" w:rsidRDefault="006E5FBF" w:rsidP="006E5FBF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47DB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Observación</w:t>
                            </w:r>
                            <w:r w:rsidRPr="00A47DBC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y análisis de los datos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de usuarios según sexo</w:t>
                            </w:r>
                          </w:p>
                          <w:p w14:paraId="10EFDAE7" w14:textId="77777777" w:rsidR="006E5FBF" w:rsidRPr="00C564AA" w:rsidRDefault="006E5FBF" w:rsidP="006E5FB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CAD8920" w14:textId="3ECF7645" w:rsidR="006E5FBF" w:rsidRDefault="006E5FBF" w:rsidP="006E5FBF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7DBC">
                              <w:rPr>
                                <w:rFonts w:asciiTheme="majorHAnsi" w:hAnsiTheme="majorHAnsi" w:cstheme="majorHAnsi"/>
                              </w:rPr>
                              <w:t>De los datos recabados durante el presente mes,</w:t>
                            </w:r>
                            <w:r w:rsidRPr="00A47D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del total de usuarios de los servicios brindados por el Ministerio de Energía y Minas, durante el mes de </w:t>
                            </w:r>
                            <w:r w:rsidR="00C564A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octubre</w:t>
                            </w:r>
                            <w:r w:rsidRPr="00A47D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el </w:t>
                            </w:r>
                            <w:r w:rsidRPr="001B1E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0F4D7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C564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% pertenece al sexo femenino y el 82 % pertenece al sexo masculino. </w:t>
                            </w:r>
                          </w:p>
                          <w:p w14:paraId="42983145" w14:textId="77777777" w:rsidR="00F31D9D" w:rsidRPr="00A47DBC" w:rsidRDefault="00F31D9D" w:rsidP="006E5FBF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8727179" w14:textId="77777777" w:rsidR="006E5FBF" w:rsidRPr="00A47DBC" w:rsidRDefault="006E5FBF" w:rsidP="006E5FB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977ECD9" w14:textId="77777777" w:rsidR="006E5FBF" w:rsidRDefault="006E5FBF" w:rsidP="006E5FBF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8C61C04" w14:textId="77777777" w:rsidR="006E5FBF" w:rsidRDefault="006E5FBF" w:rsidP="006E5FBF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32DC7D4" w14:textId="77777777" w:rsidR="006E5FBF" w:rsidRDefault="006E5FBF" w:rsidP="006E5FBF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E57EBF3" w14:textId="77777777" w:rsidR="006E5FBF" w:rsidRPr="008A066B" w:rsidRDefault="006E5FBF" w:rsidP="006E5FBF">
                            <w:pPr>
                              <w:jc w:val="center"/>
                              <w:rPr>
                                <w:rFonts w:ascii="Roboto" w:hAnsi="Roboto" w:cs="DokChampa"/>
                                <w:b/>
                                <w:bCs/>
                                <w:color w:val="948A54" w:themeColor="background2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6A4D" id="Rectángulo 6" o:spid="_x0000_s1028" style="position:absolute;left:0;text-align:left;margin-left:270.9pt;margin-top:9.3pt;width:192.35pt;height:178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" filled="f" stroked="f" strokeweight="1pt">
                <v:textbox>
                  <w:txbxContent>
                    <w:p w14:paraId="2BD7CD68" w14:textId="77777777" w:rsidR="006E5FBF" w:rsidRPr="00A47DBC" w:rsidRDefault="006E5FBF" w:rsidP="006E5FBF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47DBC">
                        <w:rPr>
                          <w:rFonts w:asciiTheme="majorHAnsi" w:hAnsiTheme="majorHAnsi" w:cstheme="majorHAnsi"/>
                          <w:b/>
                          <w:bCs/>
                        </w:rPr>
                        <w:t>Observación</w:t>
                      </w:r>
                      <w:r w:rsidRPr="00A47DBC">
                        <w:rPr>
                          <w:rFonts w:asciiTheme="majorHAnsi" w:hAnsiTheme="majorHAnsi" w:cstheme="majorHAnsi"/>
                          <w:b/>
                        </w:rPr>
                        <w:t xml:space="preserve"> y análisis de los datos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de usuarios según sexo</w:t>
                      </w:r>
                    </w:p>
                    <w:p w14:paraId="10EFDAE7" w14:textId="77777777" w:rsidR="006E5FBF" w:rsidRPr="00C564AA" w:rsidRDefault="006E5FBF" w:rsidP="006E5FB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sz w:val="6"/>
                          <w:szCs w:val="6"/>
                        </w:rPr>
                      </w:pPr>
                    </w:p>
                    <w:p w14:paraId="5CAD8920" w14:textId="3ECF7645" w:rsidR="006E5FBF" w:rsidRDefault="006E5FBF" w:rsidP="006E5FBF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A47DBC">
                        <w:rPr>
                          <w:rFonts w:asciiTheme="majorHAnsi" w:hAnsiTheme="majorHAnsi" w:cstheme="majorHAnsi"/>
                        </w:rPr>
                        <w:t>De los datos recabados durante el presente mes,</w:t>
                      </w:r>
                      <w:r w:rsidRPr="00A47D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del total de usuarios de los servicios brindados por el Ministerio de Energía y Minas, durante el mes de </w:t>
                      </w:r>
                      <w:r w:rsidR="00C564A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octubre</w:t>
                      </w:r>
                      <w:r w:rsidRPr="00A47D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el </w:t>
                      </w:r>
                      <w:r w:rsidRPr="001B1E13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0F4D72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C564AA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% pertenece al sexo femenino y el 82 % pertenece al sexo masculino. </w:t>
                      </w:r>
                    </w:p>
                    <w:p w14:paraId="42983145" w14:textId="77777777" w:rsidR="00F31D9D" w:rsidRPr="00A47DBC" w:rsidRDefault="00F31D9D" w:rsidP="006E5FBF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</w:p>
                    <w:p w14:paraId="08727179" w14:textId="77777777" w:rsidR="006E5FBF" w:rsidRPr="00A47DBC" w:rsidRDefault="006E5FBF" w:rsidP="006E5FB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2977ECD9" w14:textId="77777777" w:rsidR="006E5FBF" w:rsidRDefault="006E5FBF" w:rsidP="006E5FBF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78C61C04" w14:textId="77777777" w:rsidR="006E5FBF" w:rsidRDefault="006E5FBF" w:rsidP="006E5FBF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632DC7D4" w14:textId="77777777" w:rsidR="006E5FBF" w:rsidRDefault="006E5FBF" w:rsidP="006E5FBF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6E57EBF3" w14:textId="77777777" w:rsidR="006E5FBF" w:rsidRPr="008A066B" w:rsidRDefault="006E5FBF" w:rsidP="006E5FBF">
                      <w:pPr>
                        <w:jc w:val="center"/>
                        <w:rPr>
                          <w:rFonts w:ascii="Roboto" w:hAnsi="Roboto" w:cs="DokChampa"/>
                          <w:b/>
                          <w:bCs/>
                          <w:color w:val="948A54" w:themeColor="background2" w:themeShade="80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FEAC75" w14:textId="0B9491BB" w:rsidR="006E5FBF" w:rsidRDefault="009A59AD" w:rsidP="009E63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5DA7679B" wp14:editId="35030761">
            <wp:extent cx="3029803" cy="1951630"/>
            <wp:effectExtent l="0" t="0" r="18415" b="1079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4167C49-4B86-4378-993F-D979B0EB71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D7C7B6" w14:textId="5BF83E5A" w:rsidR="006E5FBF" w:rsidRDefault="006E5FBF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p w14:paraId="1A28DA5B" w14:textId="2C4D98CC" w:rsidR="008402BE" w:rsidRDefault="008402BE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sectPr w:rsidR="008402BE" w:rsidSect="00291E19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C8"/>
    <w:multiLevelType w:val="hybridMultilevel"/>
    <w:tmpl w:val="1C0C73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99C"/>
    <w:multiLevelType w:val="hybridMultilevel"/>
    <w:tmpl w:val="0D5861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66C"/>
    <w:multiLevelType w:val="hybridMultilevel"/>
    <w:tmpl w:val="D916A214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84678"/>
    <w:multiLevelType w:val="hybridMultilevel"/>
    <w:tmpl w:val="3828D3B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9"/>
    <w:rsid w:val="0002570A"/>
    <w:rsid w:val="00072EC3"/>
    <w:rsid w:val="000825AE"/>
    <w:rsid w:val="000877F8"/>
    <w:rsid w:val="00097E0B"/>
    <w:rsid w:val="000D5A14"/>
    <w:rsid w:val="000E3ABD"/>
    <w:rsid w:val="000E67F6"/>
    <w:rsid w:val="000F4D72"/>
    <w:rsid w:val="00136EB4"/>
    <w:rsid w:val="00146DD7"/>
    <w:rsid w:val="001560EE"/>
    <w:rsid w:val="00196866"/>
    <w:rsid w:val="001B1689"/>
    <w:rsid w:val="001B1E13"/>
    <w:rsid w:val="001F2003"/>
    <w:rsid w:val="00214183"/>
    <w:rsid w:val="00216578"/>
    <w:rsid w:val="00235690"/>
    <w:rsid w:val="00270EFA"/>
    <w:rsid w:val="002857F4"/>
    <w:rsid w:val="00291E19"/>
    <w:rsid w:val="002A2635"/>
    <w:rsid w:val="002A4D9D"/>
    <w:rsid w:val="002B49CE"/>
    <w:rsid w:val="002C2428"/>
    <w:rsid w:val="002C7E71"/>
    <w:rsid w:val="002D555B"/>
    <w:rsid w:val="002D7F9F"/>
    <w:rsid w:val="002E0461"/>
    <w:rsid w:val="002F0F35"/>
    <w:rsid w:val="002F4F1E"/>
    <w:rsid w:val="002F66D1"/>
    <w:rsid w:val="00310BEA"/>
    <w:rsid w:val="00321B8E"/>
    <w:rsid w:val="003250A1"/>
    <w:rsid w:val="00341732"/>
    <w:rsid w:val="003C248E"/>
    <w:rsid w:val="003D79B9"/>
    <w:rsid w:val="0040215E"/>
    <w:rsid w:val="0041311B"/>
    <w:rsid w:val="00433170"/>
    <w:rsid w:val="00434AD7"/>
    <w:rsid w:val="00442E6D"/>
    <w:rsid w:val="0045662F"/>
    <w:rsid w:val="0048761B"/>
    <w:rsid w:val="004B7649"/>
    <w:rsid w:val="004E4DC3"/>
    <w:rsid w:val="004F6143"/>
    <w:rsid w:val="00511676"/>
    <w:rsid w:val="00512C32"/>
    <w:rsid w:val="005306E1"/>
    <w:rsid w:val="005422A6"/>
    <w:rsid w:val="00575909"/>
    <w:rsid w:val="00591AD2"/>
    <w:rsid w:val="005B1517"/>
    <w:rsid w:val="005E1DD9"/>
    <w:rsid w:val="005F1D7E"/>
    <w:rsid w:val="00630228"/>
    <w:rsid w:val="00630859"/>
    <w:rsid w:val="00630A86"/>
    <w:rsid w:val="00633187"/>
    <w:rsid w:val="00642D0C"/>
    <w:rsid w:val="00694B94"/>
    <w:rsid w:val="006A6A81"/>
    <w:rsid w:val="006A7C02"/>
    <w:rsid w:val="006C4C44"/>
    <w:rsid w:val="006D2AB4"/>
    <w:rsid w:val="006D33BD"/>
    <w:rsid w:val="006D6300"/>
    <w:rsid w:val="006D69AA"/>
    <w:rsid w:val="006D6B91"/>
    <w:rsid w:val="006E5FBF"/>
    <w:rsid w:val="0070784E"/>
    <w:rsid w:val="0077557D"/>
    <w:rsid w:val="007764C4"/>
    <w:rsid w:val="007E0DE8"/>
    <w:rsid w:val="008402BE"/>
    <w:rsid w:val="00866BD1"/>
    <w:rsid w:val="0088529C"/>
    <w:rsid w:val="008A066B"/>
    <w:rsid w:val="008B4051"/>
    <w:rsid w:val="008C4774"/>
    <w:rsid w:val="008F3E70"/>
    <w:rsid w:val="00910E10"/>
    <w:rsid w:val="00913EAB"/>
    <w:rsid w:val="00924650"/>
    <w:rsid w:val="0094483C"/>
    <w:rsid w:val="00950CEF"/>
    <w:rsid w:val="00963183"/>
    <w:rsid w:val="009849E2"/>
    <w:rsid w:val="009A59AD"/>
    <w:rsid w:val="009E3EDA"/>
    <w:rsid w:val="009E639D"/>
    <w:rsid w:val="00A113A2"/>
    <w:rsid w:val="00A47DBC"/>
    <w:rsid w:val="00A50C68"/>
    <w:rsid w:val="00A60B3F"/>
    <w:rsid w:val="00A86F08"/>
    <w:rsid w:val="00A9244B"/>
    <w:rsid w:val="00AA36D8"/>
    <w:rsid w:val="00AC1143"/>
    <w:rsid w:val="00AC6105"/>
    <w:rsid w:val="00B11627"/>
    <w:rsid w:val="00B22803"/>
    <w:rsid w:val="00B55DC3"/>
    <w:rsid w:val="00B575C5"/>
    <w:rsid w:val="00B7201E"/>
    <w:rsid w:val="00B813D1"/>
    <w:rsid w:val="00BB2C69"/>
    <w:rsid w:val="00BC53CA"/>
    <w:rsid w:val="00BD5726"/>
    <w:rsid w:val="00C02FE5"/>
    <w:rsid w:val="00C12DC8"/>
    <w:rsid w:val="00C153C4"/>
    <w:rsid w:val="00C16A30"/>
    <w:rsid w:val="00C334B3"/>
    <w:rsid w:val="00C50D93"/>
    <w:rsid w:val="00C564AA"/>
    <w:rsid w:val="00C745AA"/>
    <w:rsid w:val="00C95494"/>
    <w:rsid w:val="00CB35C8"/>
    <w:rsid w:val="00CB6413"/>
    <w:rsid w:val="00CC3C0A"/>
    <w:rsid w:val="00CD56B5"/>
    <w:rsid w:val="00CD7147"/>
    <w:rsid w:val="00D12318"/>
    <w:rsid w:val="00D14708"/>
    <w:rsid w:val="00D16DE8"/>
    <w:rsid w:val="00D177B9"/>
    <w:rsid w:val="00D21597"/>
    <w:rsid w:val="00D3222C"/>
    <w:rsid w:val="00D44ECD"/>
    <w:rsid w:val="00D63D25"/>
    <w:rsid w:val="00D71DB8"/>
    <w:rsid w:val="00D829FD"/>
    <w:rsid w:val="00D94110"/>
    <w:rsid w:val="00DA79A3"/>
    <w:rsid w:val="00DB646B"/>
    <w:rsid w:val="00DC2387"/>
    <w:rsid w:val="00DD22F3"/>
    <w:rsid w:val="00DD6EF7"/>
    <w:rsid w:val="00DE487D"/>
    <w:rsid w:val="00DE5DF6"/>
    <w:rsid w:val="00DF06D1"/>
    <w:rsid w:val="00DF3650"/>
    <w:rsid w:val="00E825CD"/>
    <w:rsid w:val="00E86704"/>
    <w:rsid w:val="00EA31BD"/>
    <w:rsid w:val="00EB2F8B"/>
    <w:rsid w:val="00EB346E"/>
    <w:rsid w:val="00EC1CDC"/>
    <w:rsid w:val="00EC7670"/>
    <w:rsid w:val="00EF3C02"/>
    <w:rsid w:val="00F03129"/>
    <w:rsid w:val="00F1026D"/>
    <w:rsid w:val="00F202BA"/>
    <w:rsid w:val="00F31D9D"/>
    <w:rsid w:val="00F52E29"/>
    <w:rsid w:val="00F7444B"/>
    <w:rsid w:val="00F763C5"/>
    <w:rsid w:val="00F82C75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8FA2"/>
  <w15:chartTrackingRefBased/>
  <w15:docId w15:val="{D00CE2D8-29F1-43A0-8B93-52C63A3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8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EB2F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es-G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2C6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7764C4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40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ip02\Desktop\INFORMACION%20PUBLICA%202024\Informacion%20de%20oficio%20UIP\grafic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0" i="0" u="none" strike="noStrike" kern="1200" cap="none" spc="20" baseline="0">
                <a:solidFill>
                  <a:schemeClr val="accent1">
                    <a:lumMod val="50000"/>
                  </a:schemeClr>
                </a:solidFill>
                <a:latin typeface="Britannic Bold" panose="020B0903060703020204" pitchFamily="34" charset="0"/>
                <a:ea typeface="+mn-ea"/>
                <a:cs typeface="+mn-cs"/>
              </a:defRPr>
            </a:pPr>
            <a:r>
              <a:rPr lang="es-GT" sz="1600" b="1">
                <a:solidFill>
                  <a:schemeClr val="accent1">
                    <a:lumMod val="50000"/>
                  </a:schemeClr>
                </a:solidFill>
                <a:latin typeface="Britannic Bold" panose="020B0903060703020204" pitchFamily="34" charset="0"/>
              </a:rPr>
              <a:t>GÉNERO DE LOS USUARIOS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0" i="0" u="none" strike="noStrike" kern="1200" cap="none" spc="20" baseline="0">
              <a:solidFill>
                <a:schemeClr val="accent1">
                  <a:lumMod val="50000"/>
                </a:schemeClr>
              </a:solidFill>
              <a:latin typeface="Britannic Bold" panose="020B0903060703020204" pitchFamily="34" charset="0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spPr>
            <a:solidFill>
              <a:srgbClr val="B45EC2"/>
            </a:solidFill>
          </c:spPr>
          <c:explosion val="12"/>
          <c:dPt>
            <c:idx val="0"/>
            <c:bubble3D val="0"/>
            <c:spPr>
              <a:solidFill>
                <a:srgbClr val="B45EC2"/>
              </a:solidFill>
              <a:ln w="9525" cap="flat" cmpd="sng" algn="ctr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C24-41C2-92B3-954583135450}"/>
              </c:ext>
            </c:extLst>
          </c:dPt>
          <c:dPt>
            <c:idx val="1"/>
            <c:bubble3D val="0"/>
            <c:spPr>
              <a:solidFill>
                <a:srgbClr val="2B4D89"/>
              </a:solidFill>
              <a:ln w="9525" cap="flat" cmpd="sng" algn="ctr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C24-41C2-92B3-954583135450}"/>
              </c:ext>
            </c:extLst>
          </c:dPt>
          <c:dLbls>
            <c:dLbl>
              <c:idx val="0"/>
              <c:layout>
                <c:manualLayout>
                  <c:x val="6.3773445985843003E-2"/>
                  <c:y val="-5.55555555555555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24-41C2-92B3-954583135450}"/>
                </c:ext>
              </c:extLst>
            </c:dLbl>
            <c:dLbl>
              <c:idx val="1"/>
              <c:layout>
                <c:manualLayout>
                  <c:x val="-9.5598205238487499E-2"/>
                  <c:y val="4.16666666666666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lang="en-US" sz="12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49FB7A6-9343-470C-8EFA-56EAA513E316}" type="VALUE">
                      <a:rPr lang="en-US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pPr algn="ctr">
                        <a:defRPr lang="en-US" sz="1200">
                          <a:solidFill>
                            <a:schemeClr val="bg1"/>
                          </a:solidFill>
                        </a:defRPr>
                      </a:pPr>
                      <a:t>[VALOR]</a:t>
                    </a:fld>
                    <a:endParaRPr lang="es-GT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en-US" sz="12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C24-41C2-92B3-9545831354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3175">
                  <a:solidFill>
                    <a:sysClr val="windowText" lastClr="000000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Género!$A$1:$A$2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Género!$B$1:$B$2</c:f>
              <c:numCache>
                <c:formatCode>General</c:formatCode>
                <c:ptCount val="2"/>
                <c:pt idx="0">
                  <c:v>328</c:v>
                </c:pt>
                <c:pt idx="1">
                  <c:v>1522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24-41C2-92B3-9545831354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6BB-3E87-4B5D-B95C-9683C2D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Pelaez</dc:creator>
  <cp:keywords/>
  <dc:description/>
  <cp:lastModifiedBy>Rosa Lilian Itzep Tunche</cp:lastModifiedBy>
  <cp:revision>11</cp:revision>
  <cp:lastPrinted>2024-11-14T15:49:00Z</cp:lastPrinted>
  <dcterms:created xsi:type="dcterms:W3CDTF">2024-10-16T15:50:00Z</dcterms:created>
  <dcterms:modified xsi:type="dcterms:W3CDTF">2024-12-06T14:36:00Z</dcterms:modified>
</cp:coreProperties>
</file>