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D091" w14:textId="77777777" w:rsidR="00D2244E" w:rsidRPr="00D2244E" w:rsidRDefault="00D2244E" w:rsidP="00D2244E">
      <w:pPr>
        <w:pStyle w:val="Ttulo"/>
        <w:spacing w:after="480" w:line="276" w:lineRule="auto"/>
        <w:ind w:left="0" w:right="17" w:firstLine="0"/>
        <w:jc w:val="center"/>
        <w:rPr>
          <w:rFonts w:ascii="Arial" w:eastAsia="Titillium Lt" w:hAnsi="Arial" w:cs="Arial"/>
          <w:color w:val="002060"/>
        </w:rPr>
      </w:pPr>
      <w:r w:rsidRPr="00D2244E">
        <w:rPr>
          <w:rFonts w:ascii="Arial" w:eastAsia="Titillium Lt" w:hAnsi="Arial" w:cs="Arial"/>
          <w:color w:val="002060"/>
        </w:rPr>
        <w:t>LICENCIA DE ALMACENAMIENTO TRANSITORIO PARA DESECHOS RADIACTIVOS PRÁCTICA TIPO II</w:t>
      </w:r>
    </w:p>
    <w:p w14:paraId="1A792112" w14:textId="162FF293" w:rsidR="00D2244E" w:rsidRPr="00D2244E" w:rsidRDefault="00D2244E" w:rsidP="00D2244E">
      <w:pPr>
        <w:pStyle w:val="Ttulo"/>
        <w:spacing w:before="240" w:line="276" w:lineRule="auto"/>
        <w:ind w:left="0" w:right="714" w:firstLine="0"/>
        <w:rPr>
          <w:rFonts w:ascii="Arial" w:eastAsia="Titillium Lt" w:hAnsi="Arial" w:cs="Arial"/>
          <w:color w:val="002060"/>
          <w:sz w:val="28"/>
          <w:szCs w:val="28"/>
        </w:rPr>
      </w:pPr>
      <w:r w:rsidRPr="00D2244E">
        <w:rPr>
          <w:rFonts w:ascii="Arial" w:hAnsi="Arial" w:cs="Arial"/>
          <w:noProof/>
          <w:sz w:val="28"/>
          <w:szCs w:val="28"/>
        </w:rPr>
        <mc:AlternateContent>
          <mc:Choice Requires="wps">
            <w:drawing>
              <wp:anchor distT="0" distB="0" distL="114300" distR="114300" simplePos="0" relativeHeight="251659264" behindDoc="0" locked="0" layoutInCell="1" hidden="0" allowOverlap="1" wp14:anchorId="3BB7283E" wp14:editId="08E19F5A">
                <wp:simplePos x="0" y="0"/>
                <wp:positionH relativeFrom="margin">
                  <wp:align>right</wp:align>
                </wp:positionH>
                <wp:positionV relativeFrom="paragraph">
                  <wp:posOffset>165735</wp:posOffset>
                </wp:positionV>
                <wp:extent cx="2160000" cy="1440000"/>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239C2992" w14:textId="77777777" w:rsidR="00D2244E" w:rsidRPr="00D2244E" w:rsidRDefault="00D2244E" w:rsidP="00D2244E">
                            <w:pPr>
                              <w:textDirection w:val="btLr"/>
                            </w:pPr>
                            <w:r w:rsidRPr="00D2244E">
                              <w:rPr>
                                <w:rFonts w:eastAsia="Titillium Lt"/>
                                <w:b/>
                                <w:color w:val="002060"/>
                              </w:rPr>
                              <w:t>Resultado del trámite:</w:t>
                            </w:r>
                          </w:p>
                          <w:p w14:paraId="38F38009" w14:textId="77777777" w:rsidR="00D2244E" w:rsidRPr="00D2244E" w:rsidRDefault="00D2244E" w:rsidP="00D2244E">
                            <w:pPr>
                              <w:textDirection w:val="btLr"/>
                            </w:pPr>
                            <w:r w:rsidRPr="00D2244E">
                              <w:rPr>
                                <w:rFonts w:eastAsia="Titillium Lt"/>
                                <w:color w:val="002060"/>
                              </w:rPr>
                              <w:t>Licencia de Almacenamiento</w:t>
                            </w:r>
                          </w:p>
                          <w:p w14:paraId="7083A35F" w14:textId="77777777" w:rsidR="00D2244E" w:rsidRPr="00D2244E" w:rsidRDefault="00D2244E" w:rsidP="00D2244E">
                            <w:pPr>
                              <w:textDirection w:val="btLr"/>
                            </w:pPr>
                          </w:p>
                          <w:p w14:paraId="051F6602" w14:textId="77777777" w:rsidR="00D2244E" w:rsidRPr="00D2244E" w:rsidRDefault="00D2244E" w:rsidP="00D2244E">
                            <w:pPr>
                              <w:textDirection w:val="btLr"/>
                              <w:rPr>
                                <w:rFonts w:eastAsia="Titillium Lt"/>
                                <w:b/>
                                <w:color w:val="002060"/>
                              </w:rPr>
                            </w:pPr>
                            <w:r w:rsidRPr="00D2244E">
                              <w:rPr>
                                <w:rFonts w:eastAsia="Titillium Lt"/>
                                <w:b/>
                                <w:color w:val="002060"/>
                              </w:rPr>
                              <w:t xml:space="preserve">Costo del trámite: </w:t>
                            </w:r>
                          </w:p>
                          <w:p w14:paraId="2098FCD2" w14:textId="77777777" w:rsidR="00D2244E" w:rsidRPr="00D2244E" w:rsidRDefault="00D2244E" w:rsidP="00D2244E">
                            <w:pPr>
                              <w:textDirection w:val="btLr"/>
                              <w:rPr>
                                <w:bCs/>
                              </w:rPr>
                            </w:pPr>
                            <w:r w:rsidRPr="00D2244E">
                              <w:rPr>
                                <w:rFonts w:eastAsia="Titillium Lt"/>
                                <w:bCs/>
                                <w:color w:val="002060"/>
                              </w:rPr>
                              <w:t>$200 + cargo por servicios financieros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BB7283E" id="Rectángulo: esquinas redondeadas 14" o:spid="_x0000_s1026" style="position:absolute;left:0;text-align:left;margin-left:118.9pt;margin-top:13.05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qBVwIAAKYEAAAOAAAAZHJzL2Uyb0RvYy54bWysVNtuEzEQfUfiHyy/092N0hRWTSrUUoRU&#10;QUThAya2N2vktV3buX0O38KPcewsaQsPSIg8bGZ2Zo7PnPHs5dV+MGyrQtTOznlzVnOmrHBS2/Wc&#10;f/1y++o1ZzGRlWScVXN+UJFfLV6+uNz5Vk1c74xUgQHExnbn57xPybdVFUWvBopnziuLYOfCQAlu&#10;WFcy0A7og6kmdT2rdi5IH5xQMeLtzTHIFwW/65RIn7ouqsTMnINbKs9Qnqv8rBaX1K4D+V6LkQb9&#10;A4uBtMWhJ6gbSsQ2Qf8BNWgRXHRdOhNuqFzXaaFKD+imqX/r5r4nr0ovECf6k0zx/8GKj9tlYFpi&#10;dlPOLA2Y0Weo9uO7XW+Ma5mKDxttKbKgpLNSkYSNXAi387FF/b1fhtGLMLMK+y4M+R/9sX0R+3AS&#10;W+0TE3g5aWY1fpwJxJrptDjAqR7LfYjpvXIDy8acB7exMpMrStP2LqYiuRx5k/zGWTcYDHBLhjWz&#10;2ewi8wTimAzrF2aujM5oeauNKU6+curaBIbiOTepGWufZRnLduB+DrpgTrixnaEEc/DQMNp14fas&#10;JIb16gRb15N6Vq4duDxLy8RuKPbH40soE6C2tF2sHuq/s5Klg8eYLBaKZzZx4MworB+MkpdIm7/n&#10;gYCxUCeP8Ti4bKX9ag+QbK6cPOByRC9uNcjdUUxLClC3wbFYGRz4sKEAEuaDxZ1800wn59ix4kzP&#10;L7JE4Wlk9TRCVvQOmyhS4OzoXKeymblp695ukut0ApfC8EhmdLAMZazj4uZte+qXrMfPy+InAAAA&#10;//8DAFBLAwQUAAYACAAAACEADfAHheAAAAAHAQAADwAAAGRycy9kb3ducmV2LnhtbEyPwU7DMBBE&#10;70j8g7VIXFBrN4UCIU5FEfTGoU0R4ubG2yRqvE5jtw1/z3KC486MZt5m88G14oR9aDxpmIwVCKTS&#10;24YqDZvibfQAIkRD1rSeUMM3BpjnlxeZSa0/0wpP61gJLqGQGg11jF0qZShrdCaMfYfE3s73zkQ+&#10;+0ra3py53LUyUWomnWmIF2rT4UuN5X59dBoWN6/Tr7A83O8+9+/qYzUU7WFRaH19NTw/gYg4xL8w&#10;/OIzOuTMtPVHskG0GviRqCGZTUCwO71VCYgtC3fJI8g8k//58x8AAAD//wMAUEsBAi0AFAAGAAgA&#10;AAAhALaDOJL+AAAA4QEAABMAAAAAAAAAAAAAAAAAAAAAAFtDb250ZW50X1R5cGVzXS54bWxQSwEC&#10;LQAUAAYACAAAACEAOP0h/9YAAACUAQAACwAAAAAAAAAAAAAAAAAvAQAAX3JlbHMvLnJlbHNQSwEC&#10;LQAUAAYACAAAACEACyCqgVcCAACmBAAADgAAAAAAAAAAAAAAAAAuAgAAZHJzL2Uyb0RvYy54bWxQ&#10;SwECLQAUAAYACAAAACEADfAHheAAAAAHAQAADwAAAAAAAAAAAAAAAACxBAAAZHJzL2Rvd25yZXYu&#10;eG1sUEsFBgAAAAAEAAQA8wAAAL4FAAAAAA==&#10;" fillcolor="white [3201]" strokecolor="#002060" strokeweight="2pt">
                <v:stroke startarrowwidth="narrow" startarrowlength="short" endarrowwidth="narrow" endarrowlength="short"/>
                <v:textbox inset="2.53958mm,1.2694mm,2.53958mm,1.2694mm">
                  <w:txbxContent>
                    <w:p w14:paraId="239C2992" w14:textId="77777777" w:rsidR="00D2244E" w:rsidRPr="00D2244E" w:rsidRDefault="00D2244E" w:rsidP="00D2244E">
                      <w:pPr>
                        <w:textDirection w:val="btLr"/>
                      </w:pPr>
                      <w:r w:rsidRPr="00D2244E">
                        <w:rPr>
                          <w:rFonts w:eastAsia="Titillium Lt"/>
                          <w:b/>
                          <w:color w:val="002060"/>
                        </w:rPr>
                        <w:t>Resultado del trámite:</w:t>
                      </w:r>
                    </w:p>
                    <w:p w14:paraId="38F38009" w14:textId="77777777" w:rsidR="00D2244E" w:rsidRPr="00D2244E" w:rsidRDefault="00D2244E" w:rsidP="00D2244E">
                      <w:pPr>
                        <w:textDirection w:val="btLr"/>
                      </w:pPr>
                      <w:r w:rsidRPr="00D2244E">
                        <w:rPr>
                          <w:rFonts w:eastAsia="Titillium Lt"/>
                          <w:color w:val="002060"/>
                        </w:rPr>
                        <w:t>Licencia de Almacenamiento</w:t>
                      </w:r>
                    </w:p>
                    <w:p w14:paraId="7083A35F" w14:textId="77777777" w:rsidR="00D2244E" w:rsidRPr="00D2244E" w:rsidRDefault="00D2244E" w:rsidP="00D2244E">
                      <w:pPr>
                        <w:textDirection w:val="btLr"/>
                      </w:pPr>
                    </w:p>
                    <w:p w14:paraId="051F6602" w14:textId="77777777" w:rsidR="00D2244E" w:rsidRPr="00D2244E" w:rsidRDefault="00D2244E" w:rsidP="00D2244E">
                      <w:pPr>
                        <w:textDirection w:val="btLr"/>
                        <w:rPr>
                          <w:rFonts w:eastAsia="Titillium Lt"/>
                          <w:b/>
                          <w:color w:val="002060"/>
                        </w:rPr>
                      </w:pPr>
                      <w:r w:rsidRPr="00D2244E">
                        <w:rPr>
                          <w:rFonts w:eastAsia="Titillium Lt"/>
                          <w:b/>
                          <w:color w:val="002060"/>
                        </w:rPr>
                        <w:t xml:space="preserve">Costo del trámite: </w:t>
                      </w:r>
                    </w:p>
                    <w:p w14:paraId="2098FCD2" w14:textId="77777777" w:rsidR="00D2244E" w:rsidRPr="00D2244E" w:rsidRDefault="00D2244E" w:rsidP="00D2244E">
                      <w:pPr>
                        <w:textDirection w:val="btLr"/>
                        <w:rPr>
                          <w:bCs/>
                        </w:rPr>
                      </w:pPr>
                      <w:r w:rsidRPr="00D2244E">
                        <w:rPr>
                          <w:rFonts w:eastAsia="Titillium Lt"/>
                          <w:bCs/>
                          <w:color w:val="002060"/>
                        </w:rPr>
                        <w:t>$200 + cargo por servicios financieros</w:t>
                      </w:r>
                    </w:p>
                  </w:txbxContent>
                </v:textbox>
                <w10:wrap type="square" anchorx="margin"/>
              </v:roundrect>
            </w:pict>
          </mc:Fallback>
        </mc:AlternateContent>
      </w:r>
      <w:r w:rsidRPr="00D2244E">
        <w:rPr>
          <w:rFonts w:ascii="Arial" w:eastAsia="Titillium Lt" w:hAnsi="Arial" w:cs="Arial"/>
          <w:color w:val="002060"/>
          <w:sz w:val="28"/>
          <w:szCs w:val="28"/>
        </w:rPr>
        <w:t>DESCRIPCIÓN DEL TRÁMITE:</w:t>
      </w:r>
    </w:p>
    <w:p w14:paraId="33F67393" w14:textId="77777777" w:rsidR="00D2244E" w:rsidRPr="00D2244E" w:rsidRDefault="00D2244E" w:rsidP="00D2244E">
      <w:pPr>
        <w:tabs>
          <w:tab w:val="left" w:pos="1134"/>
        </w:tabs>
        <w:spacing w:line="276" w:lineRule="auto"/>
        <w:jc w:val="both"/>
        <w:rPr>
          <w:rFonts w:eastAsia="Titillium Lt"/>
          <w:color w:val="002060"/>
          <w:sz w:val="24"/>
          <w:szCs w:val="24"/>
        </w:rPr>
      </w:pPr>
      <w:r w:rsidRPr="00D2244E">
        <w:rPr>
          <w:rFonts w:eastAsia="Titillium Lt"/>
          <w:color w:val="002060"/>
          <w:sz w:val="24"/>
          <w:szCs w:val="24"/>
        </w:rPr>
        <w:t xml:space="preserve">La licencia es el permiso escrito, otorgado por la Dirección General de Energía -DGE-, para el almacenamiento de material radiactivo. </w:t>
      </w:r>
    </w:p>
    <w:p w14:paraId="10BCA58C" w14:textId="78B1554E" w:rsidR="00D2244E" w:rsidRPr="00D2244E" w:rsidRDefault="00D2244E" w:rsidP="00D2244E">
      <w:pPr>
        <w:pStyle w:val="Ttulo"/>
        <w:spacing w:before="240" w:line="276" w:lineRule="auto"/>
        <w:ind w:left="0" w:right="714" w:firstLine="0"/>
        <w:rPr>
          <w:rFonts w:ascii="Arial" w:eastAsia="Titillium Lt" w:hAnsi="Arial" w:cs="Arial"/>
          <w:color w:val="002060"/>
          <w:sz w:val="28"/>
          <w:szCs w:val="28"/>
        </w:rPr>
      </w:pPr>
      <w:r w:rsidRPr="00D2244E">
        <w:rPr>
          <w:rFonts w:ascii="Arial" w:eastAsia="Titillium Lt" w:hAnsi="Arial" w:cs="Arial"/>
          <w:color w:val="002060"/>
          <w:sz w:val="28"/>
          <w:szCs w:val="28"/>
        </w:rPr>
        <w:t xml:space="preserve">BASE LEGAL: </w:t>
      </w:r>
    </w:p>
    <w:p w14:paraId="3027A8DA" w14:textId="77777777" w:rsidR="00D2244E" w:rsidRPr="00D2244E" w:rsidRDefault="00D2244E" w:rsidP="00D2244E">
      <w:pPr>
        <w:spacing w:line="276" w:lineRule="auto"/>
        <w:jc w:val="both"/>
        <w:textDirection w:val="btLr"/>
      </w:pPr>
      <w:r w:rsidRPr="00D2244E">
        <w:rPr>
          <w:rFonts w:eastAsia="Titillium Lt"/>
          <w:color w:val="002060"/>
          <w:sz w:val="24"/>
        </w:rPr>
        <w:t>Decreto Ley 11-86, Ley para el Control, Uso y Aplicación de Radioisótopos y Radiaciones Ionizantes y sus Reglamentos.</w:t>
      </w:r>
    </w:p>
    <w:p w14:paraId="7C85877C" w14:textId="5F4FD632" w:rsidR="00D2244E" w:rsidRPr="00D2244E" w:rsidRDefault="00D2244E" w:rsidP="00D2244E">
      <w:pPr>
        <w:pStyle w:val="Ttulo"/>
        <w:spacing w:before="240" w:line="276" w:lineRule="auto"/>
        <w:ind w:left="0" w:right="714" w:firstLine="0"/>
        <w:rPr>
          <w:rFonts w:ascii="Arial" w:eastAsia="Titillium Lt" w:hAnsi="Arial" w:cs="Arial"/>
          <w:color w:val="002060"/>
          <w:sz w:val="28"/>
          <w:szCs w:val="28"/>
        </w:rPr>
      </w:pPr>
      <w:bookmarkStart w:id="0" w:name="_Hlk146109353"/>
      <w:r w:rsidRPr="00D2244E">
        <w:rPr>
          <w:rFonts w:ascii="Arial" w:eastAsia="Titillium Lt" w:hAnsi="Arial" w:cs="Arial"/>
          <w:color w:val="002060"/>
          <w:sz w:val="28"/>
          <w:szCs w:val="28"/>
        </w:rPr>
        <w:t>REQUISITOS:</w:t>
      </w:r>
    </w:p>
    <w:p w14:paraId="29ABAD83" w14:textId="77777777" w:rsidR="00D2244E" w:rsidRPr="00D2244E" w:rsidRDefault="00D2244E" w:rsidP="00D2244E">
      <w:pPr>
        <w:tabs>
          <w:tab w:val="left" w:pos="1134"/>
        </w:tabs>
        <w:spacing w:line="276" w:lineRule="auto"/>
        <w:jc w:val="both"/>
        <w:rPr>
          <w:rFonts w:eastAsia="Titillium Lt"/>
          <w:color w:val="002060"/>
          <w:sz w:val="24"/>
          <w:szCs w:val="24"/>
        </w:rPr>
      </w:pPr>
      <w:r w:rsidRPr="00D2244E">
        <w:rPr>
          <w:rFonts w:eastAsia="Titillium Lt"/>
          <w:color w:val="002060"/>
          <w:sz w:val="24"/>
          <w:szCs w:val="24"/>
        </w:rPr>
        <w:t xml:space="preserve">A continuación, se detallan los documentos que debe cargar al sistema, de manera separada, así mismo, todos los documentos a presentar deben de estar </w:t>
      </w:r>
      <w:r w:rsidRPr="00D2244E">
        <w:rPr>
          <w:rFonts w:eastAsia="Titillium Lt"/>
          <w:b/>
          <w:bCs/>
          <w:color w:val="002060"/>
          <w:sz w:val="24"/>
          <w:szCs w:val="24"/>
        </w:rPr>
        <w:t>vigentes</w:t>
      </w:r>
      <w:r w:rsidRPr="00D2244E">
        <w:rPr>
          <w:rFonts w:eastAsia="Titillium Lt"/>
          <w:color w:val="002060"/>
          <w:sz w:val="24"/>
          <w:szCs w:val="24"/>
        </w:rPr>
        <w:t xml:space="preserve"> a la fecha. </w:t>
      </w:r>
    </w:p>
    <w:p w14:paraId="3A2C5208" w14:textId="4E06ADF4" w:rsidR="00D2244E" w:rsidRPr="00D2244E" w:rsidRDefault="00D2244E" w:rsidP="00D2244E">
      <w:pPr>
        <w:tabs>
          <w:tab w:val="left" w:pos="1134"/>
        </w:tabs>
        <w:spacing w:before="120" w:line="276" w:lineRule="auto"/>
        <w:jc w:val="both"/>
        <w:rPr>
          <w:rFonts w:eastAsia="Titillium Lt"/>
          <w:color w:val="002060"/>
          <w:sz w:val="24"/>
          <w:szCs w:val="24"/>
        </w:rPr>
      </w:pPr>
      <w:r w:rsidRPr="00D2244E">
        <w:rPr>
          <w:rFonts w:eastAsia="Titillium Lt"/>
          <w:color w:val="002060"/>
          <w:sz w:val="24"/>
          <w:szCs w:val="24"/>
        </w:rPr>
        <w:t>En caso no se encuentre habilitada la casilla correspondiente para cargar el documento al sistema, cargar en la opción “DOCUMENTOS ADICIONALES”.</w:t>
      </w:r>
    </w:p>
    <w:bookmarkEnd w:id="0"/>
    <w:p w14:paraId="5153D5C5" w14:textId="77777777" w:rsidR="00D2244E" w:rsidRPr="00D2244E" w:rsidRDefault="00D2244E" w:rsidP="00D2244E">
      <w:pPr>
        <w:widowControl/>
        <w:spacing w:before="240" w:line="276" w:lineRule="auto"/>
        <w:jc w:val="both"/>
        <w:rPr>
          <w:rFonts w:eastAsia="Titillium Lt"/>
          <w:b/>
          <w:bCs/>
          <w:color w:val="002060"/>
          <w:sz w:val="24"/>
          <w:szCs w:val="24"/>
        </w:rPr>
      </w:pPr>
      <w:r w:rsidRPr="00D2244E">
        <w:rPr>
          <w:rFonts w:eastAsia="Titillium Lt"/>
          <w:b/>
          <w:bCs/>
          <w:color w:val="002060"/>
          <w:sz w:val="24"/>
          <w:szCs w:val="24"/>
        </w:rPr>
        <w:t xml:space="preserve">Persona o Empresa Individual </w:t>
      </w:r>
    </w:p>
    <w:p w14:paraId="183CD0BE" w14:textId="77777777" w:rsidR="00D2244E" w:rsidRPr="00D2244E" w:rsidRDefault="00D2244E" w:rsidP="00D2244E">
      <w:pPr>
        <w:pStyle w:val="Prrafodelista"/>
        <w:widowControl/>
        <w:numPr>
          <w:ilvl w:val="0"/>
          <w:numId w:val="24"/>
        </w:numPr>
        <w:spacing w:before="120" w:line="276" w:lineRule="auto"/>
        <w:ind w:left="714" w:hanging="357"/>
        <w:contextualSpacing w:val="0"/>
        <w:jc w:val="both"/>
        <w:rPr>
          <w:rFonts w:eastAsia="Titillium Lt"/>
          <w:bCs/>
          <w:color w:val="002060"/>
          <w:sz w:val="24"/>
          <w:szCs w:val="24"/>
        </w:rPr>
      </w:pPr>
      <w:r w:rsidRPr="00D2244E">
        <w:rPr>
          <w:rFonts w:eastAsia="Titillium Lt"/>
          <w:bCs/>
          <w:color w:val="002060"/>
          <w:sz w:val="24"/>
          <w:szCs w:val="24"/>
        </w:rPr>
        <w:t xml:space="preserve">Documento de identificación personal del solicitante: </w:t>
      </w:r>
    </w:p>
    <w:p w14:paraId="7020CB42" w14:textId="77777777" w:rsidR="00D2244E" w:rsidRPr="00D2244E" w:rsidRDefault="00D2244E" w:rsidP="00D2244E">
      <w:pPr>
        <w:pStyle w:val="Prrafodelista"/>
        <w:widowControl/>
        <w:numPr>
          <w:ilvl w:val="1"/>
          <w:numId w:val="24"/>
        </w:numPr>
        <w:spacing w:before="120" w:line="276" w:lineRule="auto"/>
        <w:contextualSpacing w:val="0"/>
        <w:jc w:val="both"/>
        <w:rPr>
          <w:rFonts w:eastAsia="Titillium Lt"/>
          <w:color w:val="002060"/>
          <w:sz w:val="24"/>
          <w:szCs w:val="24"/>
        </w:rPr>
      </w:pPr>
      <w:r w:rsidRPr="00D2244E">
        <w:rPr>
          <w:rFonts w:eastAsia="Titillium Lt"/>
          <w:color w:val="002060"/>
          <w:sz w:val="24"/>
          <w:szCs w:val="24"/>
        </w:rPr>
        <w:t>NACIONAL: Documento Personal de Identificación (DPI), vigente, de ambos lados</w:t>
      </w:r>
    </w:p>
    <w:p w14:paraId="352292B2" w14:textId="77777777" w:rsidR="00D2244E" w:rsidRPr="00D2244E" w:rsidRDefault="00D2244E" w:rsidP="00D2244E">
      <w:pPr>
        <w:pStyle w:val="Prrafodelista"/>
        <w:widowControl/>
        <w:numPr>
          <w:ilvl w:val="1"/>
          <w:numId w:val="24"/>
        </w:numPr>
        <w:spacing w:before="120" w:line="276" w:lineRule="auto"/>
        <w:contextualSpacing w:val="0"/>
        <w:jc w:val="both"/>
        <w:rPr>
          <w:rFonts w:eastAsia="Titillium Lt"/>
          <w:color w:val="002060"/>
          <w:sz w:val="24"/>
          <w:szCs w:val="24"/>
        </w:rPr>
      </w:pPr>
      <w:r w:rsidRPr="00D2244E">
        <w:rPr>
          <w:rFonts w:eastAsia="Titillium Lt"/>
          <w:color w:val="002060"/>
          <w:sz w:val="24"/>
          <w:szCs w:val="24"/>
        </w:rPr>
        <w:t>EXTRANJERO: Pasaporte completo, pasta a pasta</w:t>
      </w:r>
    </w:p>
    <w:p w14:paraId="0A6289EA" w14:textId="77777777" w:rsidR="00D2244E" w:rsidRPr="00D2244E" w:rsidRDefault="00D2244E" w:rsidP="00D2244E">
      <w:pPr>
        <w:pStyle w:val="Prrafodelista"/>
        <w:widowControl/>
        <w:numPr>
          <w:ilvl w:val="0"/>
          <w:numId w:val="24"/>
        </w:numPr>
        <w:spacing w:before="120" w:line="276" w:lineRule="auto"/>
        <w:ind w:left="714" w:hanging="357"/>
        <w:contextualSpacing w:val="0"/>
        <w:jc w:val="both"/>
        <w:rPr>
          <w:rFonts w:eastAsia="Titillium Lt"/>
          <w:color w:val="002060"/>
          <w:sz w:val="24"/>
          <w:szCs w:val="24"/>
        </w:rPr>
      </w:pPr>
      <w:r w:rsidRPr="00D2244E">
        <w:rPr>
          <w:rFonts w:eastAsia="Titillium Lt"/>
          <w:color w:val="002060"/>
          <w:sz w:val="24"/>
          <w:szCs w:val="24"/>
        </w:rPr>
        <w:t>Patente de Empresa (cuando proceda)</w:t>
      </w:r>
    </w:p>
    <w:p w14:paraId="015181EC" w14:textId="77777777" w:rsidR="00D2244E" w:rsidRPr="00D2244E" w:rsidRDefault="00D2244E" w:rsidP="00D2244E">
      <w:pPr>
        <w:widowControl/>
        <w:spacing w:before="240" w:line="276" w:lineRule="auto"/>
        <w:jc w:val="both"/>
        <w:rPr>
          <w:rFonts w:eastAsia="Titillium Lt"/>
          <w:b/>
          <w:bCs/>
          <w:color w:val="002060"/>
          <w:sz w:val="24"/>
          <w:szCs w:val="24"/>
        </w:rPr>
      </w:pPr>
      <w:r w:rsidRPr="00D2244E">
        <w:rPr>
          <w:rFonts w:eastAsia="Titillium Lt"/>
          <w:b/>
          <w:bCs/>
          <w:color w:val="002060"/>
          <w:sz w:val="24"/>
          <w:szCs w:val="24"/>
        </w:rPr>
        <w:t xml:space="preserve">Persona Jurídica </w:t>
      </w:r>
    </w:p>
    <w:p w14:paraId="2EF1D8C8" w14:textId="77777777" w:rsidR="00D2244E" w:rsidRPr="00D2244E" w:rsidRDefault="00D2244E" w:rsidP="00D2244E">
      <w:pPr>
        <w:pStyle w:val="Prrafodelista"/>
        <w:widowControl/>
        <w:numPr>
          <w:ilvl w:val="0"/>
          <w:numId w:val="25"/>
        </w:numPr>
        <w:spacing w:before="120" w:line="276" w:lineRule="auto"/>
        <w:contextualSpacing w:val="0"/>
        <w:jc w:val="both"/>
        <w:rPr>
          <w:rFonts w:eastAsia="Titillium Lt"/>
          <w:bCs/>
          <w:color w:val="002060"/>
          <w:sz w:val="24"/>
          <w:szCs w:val="24"/>
        </w:rPr>
      </w:pPr>
      <w:r w:rsidRPr="00D2244E">
        <w:rPr>
          <w:rFonts w:eastAsia="Titillium Lt"/>
          <w:bCs/>
          <w:color w:val="002060"/>
          <w:sz w:val="24"/>
          <w:szCs w:val="24"/>
        </w:rPr>
        <w:t xml:space="preserve">Documento de identificación personal del solicitante: </w:t>
      </w:r>
    </w:p>
    <w:p w14:paraId="0F164448" w14:textId="77777777" w:rsidR="00D2244E" w:rsidRPr="00D2244E" w:rsidRDefault="00D2244E" w:rsidP="00D2244E">
      <w:pPr>
        <w:pStyle w:val="Prrafodelista"/>
        <w:widowControl/>
        <w:numPr>
          <w:ilvl w:val="1"/>
          <w:numId w:val="25"/>
        </w:numPr>
        <w:spacing w:before="120" w:line="276" w:lineRule="auto"/>
        <w:contextualSpacing w:val="0"/>
        <w:jc w:val="both"/>
        <w:rPr>
          <w:rFonts w:eastAsia="Titillium Lt"/>
          <w:color w:val="002060"/>
          <w:sz w:val="24"/>
          <w:szCs w:val="24"/>
        </w:rPr>
      </w:pPr>
      <w:r w:rsidRPr="00D2244E">
        <w:rPr>
          <w:rFonts w:eastAsia="Titillium Lt"/>
          <w:color w:val="002060"/>
          <w:sz w:val="24"/>
          <w:szCs w:val="24"/>
        </w:rPr>
        <w:t>NACIONAL: Documento Personal de Identificación (DPI), vigente, de ambos lados</w:t>
      </w:r>
    </w:p>
    <w:p w14:paraId="6446320B" w14:textId="77777777" w:rsidR="00D2244E" w:rsidRPr="00D2244E" w:rsidRDefault="00D2244E" w:rsidP="00D2244E">
      <w:pPr>
        <w:pStyle w:val="Prrafodelista"/>
        <w:widowControl/>
        <w:numPr>
          <w:ilvl w:val="1"/>
          <w:numId w:val="25"/>
        </w:numPr>
        <w:spacing w:before="120" w:line="276" w:lineRule="auto"/>
        <w:contextualSpacing w:val="0"/>
        <w:jc w:val="both"/>
        <w:rPr>
          <w:rFonts w:eastAsia="Titillium Lt"/>
          <w:color w:val="002060"/>
          <w:sz w:val="24"/>
          <w:szCs w:val="24"/>
        </w:rPr>
      </w:pPr>
      <w:r w:rsidRPr="00D2244E">
        <w:rPr>
          <w:rFonts w:eastAsia="Titillium Lt"/>
          <w:color w:val="002060"/>
          <w:sz w:val="24"/>
          <w:szCs w:val="24"/>
        </w:rPr>
        <w:t>EXTRANJERO: Pasaporte completo, pasta a pasta</w:t>
      </w:r>
    </w:p>
    <w:p w14:paraId="73FAB4CF" w14:textId="77777777" w:rsidR="00D2244E" w:rsidRPr="00D2244E" w:rsidRDefault="00D2244E" w:rsidP="00D2244E">
      <w:pPr>
        <w:pStyle w:val="Prrafodelista"/>
        <w:widowControl/>
        <w:numPr>
          <w:ilvl w:val="0"/>
          <w:numId w:val="25"/>
        </w:numPr>
        <w:spacing w:before="120" w:line="276" w:lineRule="auto"/>
        <w:contextualSpacing w:val="0"/>
        <w:jc w:val="both"/>
        <w:rPr>
          <w:rFonts w:eastAsia="Titillium Lt"/>
          <w:color w:val="002060"/>
          <w:sz w:val="24"/>
          <w:szCs w:val="24"/>
        </w:rPr>
      </w:pPr>
      <w:r w:rsidRPr="00D2244E">
        <w:rPr>
          <w:rFonts w:eastAsia="Titillium Lt"/>
          <w:color w:val="002060"/>
          <w:sz w:val="24"/>
          <w:szCs w:val="24"/>
        </w:rPr>
        <w:t>Documento de constitución de la entidad, razonado por el registro correspondiente donde se haga constar su inscripción definitiva. (para el caso de Sector Público presentar documento del Acta de Constitución de la institución)</w:t>
      </w:r>
    </w:p>
    <w:p w14:paraId="73F7656D" w14:textId="77777777" w:rsidR="00D2244E" w:rsidRPr="00D2244E" w:rsidRDefault="00D2244E" w:rsidP="00D2244E">
      <w:pPr>
        <w:pStyle w:val="Prrafodelista"/>
        <w:widowControl/>
        <w:numPr>
          <w:ilvl w:val="0"/>
          <w:numId w:val="25"/>
        </w:numPr>
        <w:spacing w:before="120" w:line="276" w:lineRule="auto"/>
        <w:contextualSpacing w:val="0"/>
        <w:jc w:val="both"/>
        <w:rPr>
          <w:rFonts w:eastAsia="Titillium Lt"/>
          <w:color w:val="002060"/>
          <w:sz w:val="24"/>
          <w:szCs w:val="24"/>
        </w:rPr>
      </w:pPr>
      <w:r w:rsidRPr="00D2244E">
        <w:rPr>
          <w:rFonts w:eastAsia="Titillium Lt"/>
          <w:color w:val="002060"/>
          <w:sz w:val="24"/>
          <w:szCs w:val="24"/>
        </w:rPr>
        <w:t>Documento con que se acredite la calidad con que actúa el Representante Legal (para el caso de Sector Público presentar documento donde consta el nombramiento y el acta de toma de posesión)</w:t>
      </w:r>
    </w:p>
    <w:p w14:paraId="74FB0D17" w14:textId="2006EECD" w:rsidR="00D2244E" w:rsidRDefault="00D2244E" w:rsidP="00D2244E">
      <w:pPr>
        <w:pStyle w:val="Prrafodelista"/>
        <w:widowControl/>
        <w:numPr>
          <w:ilvl w:val="0"/>
          <w:numId w:val="25"/>
        </w:numPr>
        <w:spacing w:before="120" w:line="276" w:lineRule="auto"/>
        <w:contextualSpacing w:val="0"/>
        <w:jc w:val="both"/>
        <w:rPr>
          <w:rFonts w:eastAsia="Titillium Lt"/>
          <w:color w:val="002060"/>
          <w:sz w:val="24"/>
          <w:szCs w:val="24"/>
        </w:rPr>
      </w:pPr>
      <w:r w:rsidRPr="00D2244E">
        <w:rPr>
          <w:rFonts w:eastAsia="Titillium Lt"/>
          <w:color w:val="002060"/>
          <w:sz w:val="24"/>
          <w:szCs w:val="24"/>
        </w:rPr>
        <w:t>Patente de Comercio de Empresa y de Sociedad (cuando corresponda)</w:t>
      </w:r>
    </w:p>
    <w:p w14:paraId="4503ECE3" w14:textId="77777777" w:rsidR="00D2244E" w:rsidRPr="00D2244E" w:rsidRDefault="00D2244E" w:rsidP="00D2244E">
      <w:pPr>
        <w:pStyle w:val="Prrafodelista"/>
        <w:widowControl/>
        <w:spacing w:before="120" w:line="276" w:lineRule="auto"/>
        <w:contextualSpacing w:val="0"/>
        <w:jc w:val="both"/>
        <w:rPr>
          <w:rFonts w:eastAsia="Titillium Lt"/>
          <w:color w:val="002060"/>
          <w:sz w:val="24"/>
          <w:szCs w:val="24"/>
        </w:rPr>
      </w:pPr>
    </w:p>
    <w:p w14:paraId="5E322D5B" w14:textId="77777777" w:rsidR="00D2244E" w:rsidRPr="00D2244E" w:rsidRDefault="00D2244E" w:rsidP="00D2244E">
      <w:pPr>
        <w:widowControl/>
        <w:spacing w:before="240" w:line="276" w:lineRule="auto"/>
        <w:jc w:val="both"/>
        <w:rPr>
          <w:rFonts w:eastAsia="Titillium Lt"/>
          <w:b/>
          <w:bCs/>
          <w:color w:val="002060"/>
          <w:sz w:val="24"/>
          <w:szCs w:val="24"/>
        </w:rPr>
      </w:pPr>
      <w:r w:rsidRPr="00D2244E">
        <w:rPr>
          <w:rFonts w:eastAsia="Titillium Lt"/>
          <w:b/>
          <w:bCs/>
          <w:color w:val="002060"/>
          <w:sz w:val="24"/>
          <w:szCs w:val="24"/>
        </w:rPr>
        <w:lastRenderedPageBreak/>
        <w:t xml:space="preserve">Para ambas personerías, adjuntar los siguientes formularios y documentos:  </w:t>
      </w:r>
    </w:p>
    <w:p w14:paraId="4602DB98" w14:textId="77777777" w:rsidR="00D2244E" w:rsidRPr="00D2244E" w:rsidRDefault="00D2244E" w:rsidP="00D2244E">
      <w:pPr>
        <w:widowControl/>
        <w:numPr>
          <w:ilvl w:val="0"/>
          <w:numId w:val="23"/>
        </w:numPr>
        <w:pBdr>
          <w:top w:val="nil"/>
          <w:left w:val="nil"/>
          <w:bottom w:val="nil"/>
          <w:right w:val="nil"/>
          <w:between w:val="nil"/>
        </w:pBdr>
        <w:spacing w:before="120" w:line="276" w:lineRule="auto"/>
        <w:ind w:left="714" w:hanging="357"/>
        <w:jc w:val="both"/>
        <w:rPr>
          <w:rFonts w:eastAsia="Titillium Lt"/>
          <w:b/>
          <w:color w:val="002060"/>
          <w:sz w:val="24"/>
          <w:szCs w:val="24"/>
        </w:rPr>
      </w:pPr>
      <w:r w:rsidRPr="00D2244E">
        <w:rPr>
          <w:rFonts w:eastAsia="Titillium Lt"/>
          <w:color w:val="002060"/>
          <w:sz w:val="24"/>
          <w:szCs w:val="24"/>
        </w:rPr>
        <w:t>DGE-05 “Formulario de Licencia de Almacenamiento de Transitorio para Desechos Radiactivos Practica Tipo II”</w:t>
      </w:r>
    </w:p>
    <w:p w14:paraId="76AF2065" w14:textId="77777777" w:rsidR="00D2244E" w:rsidRPr="00D2244E" w:rsidRDefault="00D2244E" w:rsidP="00D2244E">
      <w:pPr>
        <w:widowControl/>
        <w:numPr>
          <w:ilvl w:val="0"/>
          <w:numId w:val="23"/>
        </w:numPr>
        <w:pBdr>
          <w:top w:val="nil"/>
          <w:left w:val="nil"/>
          <w:bottom w:val="nil"/>
          <w:right w:val="nil"/>
          <w:between w:val="nil"/>
        </w:pBdr>
        <w:spacing w:before="120" w:line="276" w:lineRule="auto"/>
        <w:ind w:left="714" w:hanging="357"/>
        <w:jc w:val="both"/>
        <w:rPr>
          <w:rFonts w:eastAsia="Titillium Lt"/>
          <w:b/>
          <w:color w:val="002060"/>
          <w:sz w:val="24"/>
          <w:szCs w:val="24"/>
        </w:rPr>
      </w:pPr>
      <w:r w:rsidRPr="00D2244E">
        <w:rPr>
          <w:rFonts w:eastAsia="Titillium Lt"/>
          <w:color w:val="002060"/>
          <w:sz w:val="24"/>
          <w:szCs w:val="24"/>
        </w:rPr>
        <w:t>Manual de procedimientos, el cual deberá incluir:</w:t>
      </w:r>
    </w:p>
    <w:p w14:paraId="377ABC27" w14:textId="77777777" w:rsidR="00D2244E" w:rsidRPr="00D2244E" w:rsidRDefault="00D2244E" w:rsidP="00D2244E">
      <w:pPr>
        <w:widowControl/>
        <w:numPr>
          <w:ilvl w:val="1"/>
          <w:numId w:val="32"/>
        </w:numPr>
        <w:pBdr>
          <w:top w:val="nil"/>
          <w:left w:val="nil"/>
          <w:bottom w:val="nil"/>
          <w:right w:val="nil"/>
          <w:between w:val="nil"/>
        </w:pBdr>
        <w:spacing w:line="276" w:lineRule="auto"/>
        <w:ind w:left="1434" w:hanging="357"/>
        <w:jc w:val="both"/>
        <w:rPr>
          <w:rFonts w:eastAsia="Titillium Lt"/>
          <w:color w:val="002060"/>
          <w:sz w:val="24"/>
          <w:szCs w:val="24"/>
        </w:rPr>
      </w:pPr>
      <w:r w:rsidRPr="00D2244E">
        <w:rPr>
          <w:rFonts w:eastAsia="Titillium Lt"/>
          <w:color w:val="002060"/>
          <w:sz w:val="24"/>
          <w:szCs w:val="24"/>
        </w:rPr>
        <w:t xml:space="preserve">Procedimientos de operación </w:t>
      </w:r>
    </w:p>
    <w:p w14:paraId="7A90E893" w14:textId="77777777" w:rsidR="00D2244E" w:rsidRPr="00D2244E" w:rsidRDefault="00D2244E" w:rsidP="00D2244E">
      <w:pPr>
        <w:widowControl/>
        <w:numPr>
          <w:ilvl w:val="1"/>
          <w:numId w:val="32"/>
        </w:numPr>
        <w:pBdr>
          <w:top w:val="nil"/>
          <w:left w:val="nil"/>
          <w:bottom w:val="nil"/>
          <w:right w:val="nil"/>
          <w:between w:val="nil"/>
        </w:pBdr>
        <w:spacing w:line="276" w:lineRule="auto"/>
        <w:ind w:left="1434" w:hanging="357"/>
        <w:jc w:val="both"/>
        <w:rPr>
          <w:rFonts w:eastAsia="Titillium Lt"/>
          <w:color w:val="002060"/>
          <w:sz w:val="24"/>
          <w:szCs w:val="24"/>
        </w:rPr>
      </w:pPr>
      <w:r w:rsidRPr="00D2244E">
        <w:rPr>
          <w:rFonts w:eastAsia="Titillium Lt"/>
          <w:color w:val="002060"/>
          <w:sz w:val="24"/>
          <w:szCs w:val="24"/>
        </w:rPr>
        <w:t xml:space="preserve">Procedimientos de mantenimiento </w:t>
      </w:r>
    </w:p>
    <w:p w14:paraId="24374963" w14:textId="77777777" w:rsidR="00D2244E" w:rsidRPr="00D2244E" w:rsidRDefault="00D2244E" w:rsidP="00D2244E">
      <w:pPr>
        <w:widowControl/>
        <w:numPr>
          <w:ilvl w:val="1"/>
          <w:numId w:val="32"/>
        </w:numPr>
        <w:pBdr>
          <w:top w:val="nil"/>
          <w:left w:val="nil"/>
          <w:bottom w:val="nil"/>
          <w:right w:val="nil"/>
          <w:between w:val="nil"/>
        </w:pBdr>
        <w:spacing w:line="276" w:lineRule="auto"/>
        <w:ind w:left="1434" w:hanging="357"/>
        <w:jc w:val="both"/>
        <w:rPr>
          <w:rFonts w:eastAsia="Titillium Lt"/>
          <w:color w:val="002060"/>
          <w:sz w:val="24"/>
          <w:szCs w:val="24"/>
        </w:rPr>
      </w:pPr>
      <w:r w:rsidRPr="00D2244E">
        <w:rPr>
          <w:rFonts w:eastAsia="Titillium Lt"/>
          <w:color w:val="002060"/>
          <w:sz w:val="24"/>
          <w:szCs w:val="24"/>
        </w:rPr>
        <w:t xml:space="preserve">Procedimientos de protección y seguridad radiológica </w:t>
      </w:r>
    </w:p>
    <w:p w14:paraId="780729B6" w14:textId="77777777" w:rsidR="00D2244E" w:rsidRPr="00D2244E" w:rsidRDefault="00D2244E" w:rsidP="00D2244E">
      <w:pPr>
        <w:widowControl/>
        <w:numPr>
          <w:ilvl w:val="1"/>
          <w:numId w:val="32"/>
        </w:numPr>
        <w:pBdr>
          <w:top w:val="nil"/>
          <w:left w:val="nil"/>
          <w:bottom w:val="nil"/>
          <w:right w:val="nil"/>
          <w:between w:val="nil"/>
        </w:pBdr>
        <w:spacing w:line="276" w:lineRule="auto"/>
        <w:ind w:left="1434" w:hanging="357"/>
        <w:jc w:val="both"/>
        <w:rPr>
          <w:rFonts w:eastAsia="Titillium Lt"/>
          <w:color w:val="002060"/>
          <w:sz w:val="24"/>
          <w:szCs w:val="24"/>
        </w:rPr>
      </w:pPr>
      <w:r w:rsidRPr="00D2244E">
        <w:rPr>
          <w:rFonts w:eastAsia="Titillium Lt"/>
          <w:color w:val="002060"/>
          <w:sz w:val="24"/>
          <w:szCs w:val="24"/>
        </w:rPr>
        <w:t>Procedimientos administrativos importantes para la práctica</w:t>
      </w:r>
    </w:p>
    <w:p w14:paraId="45D827A6" w14:textId="77777777" w:rsidR="00D2244E" w:rsidRPr="00D2244E" w:rsidRDefault="00D2244E" w:rsidP="00D2244E">
      <w:pPr>
        <w:widowControl/>
        <w:numPr>
          <w:ilvl w:val="1"/>
          <w:numId w:val="32"/>
        </w:numPr>
        <w:pBdr>
          <w:top w:val="nil"/>
          <w:left w:val="nil"/>
          <w:bottom w:val="nil"/>
          <w:right w:val="nil"/>
          <w:between w:val="nil"/>
        </w:pBdr>
        <w:spacing w:line="276" w:lineRule="auto"/>
        <w:ind w:left="1434" w:hanging="357"/>
        <w:jc w:val="both"/>
        <w:rPr>
          <w:rFonts w:eastAsia="Titillium Lt"/>
          <w:color w:val="002060"/>
          <w:sz w:val="24"/>
          <w:szCs w:val="24"/>
        </w:rPr>
      </w:pPr>
      <w:r w:rsidRPr="00D2244E">
        <w:rPr>
          <w:rFonts w:eastAsia="Titillium Lt"/>
          <w:color w:val="002060"/>
          <w:sz w:val="24"/>
          <w:szCs w:val="24"/>
        </w:rPr>
        <w:t>Procedimientos para afrontar situaciones de emergencia o de exposición potencial; y</w:t>
      </w:r>
    </w:p>
    <w:p w14:paraId="1075E0F3" w14:textId="77777777" w:rsidR="00D2244E" w:rsidRPr="00D2244E" w:rsidRDefault="00D2244E" w:rsidP="00D2244E">
      <w:pPr>
        <w:widowControl/>
        <w:numPr>
          <w:ilvl w:val="1"/>
          <w:numId w:val="32"/>
        </w:numPr>
        <w:pBdr>
          <w:top w:val="nil"/>
          <w:left w:val="nil"/>
          <w:bottom w:val="nil"/>
          <w:right w:val="nil"/>
          <w:between w:val="nil"/>
        </w:pBdr>
        <w:spacing w:line="276" w:lineRule="auto"/>
        <w:ind w:left="1434" w:hanging="357"/>
        <w:jc w:val="both"/>
        <w:rPr>
          <w:rFonts w:eastAsia="Titillium Lt"/>
          <w:color w:val="002060"/>
          <w:sz w:val="24"/>
          <w:szCs w:val="24"/>
        </w:rPr>
      </w:pPr>
      <w:r w:rsidRPr="00D2244E">
        <w:rPr>
          <w:rFonts w:eastAsia="Titillium Lt"/>
          <w:color w:val="002060"/>
          <w:sz w:val="24"/>
          <w:szCs w:val="24"/>
        </w:rPr>
        <w:t>Procedimientos de garantía de calidad</w:t>
      </w:r>
    </w:p>
    <w:p w14:paraId="1543955C" w14:textId="01452E6E" w:rsidR="00D2244E" w:rsidRPr="00D2244E" w:rsidRDefault="00D2244E" w:rsidP="00D2244E">
      <w:pPr>
        <w:widowControl/>
        <w:spacing w:before="240" w:line="276" w:lineRule="auto"/>
        <w:jc w:val="both"/>
        <w:rPr>
          <w:rFonts w:eastAsia="Titillium Lt"/>
          <w:b/>
          <w:bCs/>
          <w:color w:val="002060"/>
          <w:sz w:val="24"/>
          <w:szCs w:val="24"/>
        </w:rPr>
      </w:pPr>
      <w:bookmarkStart w:id="1" w:name="_Hlk146109743"/>
      <w:r w:rsidRPr="00D2244E">
        <w:rPr>
          <w:rFonts w:eastAsia="Titillium Lt"/>
          <w:b/>
          <w:bCs/>
          <w:color w:val="002060"/>
          <w:sz w:val="24"/>
          <w:szCs w:val="24"/>
        </w:rPr>
        <w:t xml:space="preserve">Documentos Adicionales: </w:t>
      </w:r>
    </w:p>
    <w:p w14:paraId="5CC59E0C" w14:textId="77777777" w:rsidR="00D2244E" w:rsidRPr="00D2244E" w:rsidRDefault="00D2244E" w:rsidP="00D2244E">
      <w:pPr>
        <w:pStyle w:val="Prrafodelista"/>
        <w:widowControl/>
        <w:numPr>
          <w:ilvl w:val="0"/>
          <w:numId w:val="31"/>
        </w:numPr>
        <w:pBdr>
          <w:top w:val="nil"/>
          <w:left w:val="nil"/>
          <w:bottom w:val="nil"/>
          <w:right w:val="nil"/>
          <w:between w:val="nil"/>
        </w:pBdr>
        <w:spacing w:before="120" w:line="276" w:lineRule="auto"/>
        <w:jc w:val="both"/>
        <w:rPr>
          <w:rFonts w:eastAsia="Titillium Lt"/>
          <w:color w:val="002060"/>
          <w:sz w:val="24"/>
          <w:szCs w:val="24"/>
        </w:rPr>
      </w:pPr>
      <w:bookmarkStart w:id="2" w:name="_Hlk146109845"/>
      <w:r w:rsidRPr="00D2244E">
        <w:rPr>
          <w:rFonts w:eastAsia="Titillium Lt"/>
          <w:bCs/>
          <w:color w:val="002060"/>
          <w:sz w:val="24"/>
          <w:szCs w:val="24"/>
        </w:rPr>
        <w:t>Plan</w:t>
      </w:r>
      <w:r w:rsidRPr="00D2244E">
        <w:rPr>
          <w:rFonts w:eastAsia="Titillium Lt"/>
          <w:color w:val="002060"/>
          <w:sz w:val="24"/>
          <w:szCs w:val="24"/>
        </w:rPr>
        <w:t xml:space="preserve"> de Seguridad Física de Materiales Nucleares y Radiactivos. Requisito reglamentario, Artículo 19. “Requisitos fundamentales para el otorgamiento de Licencia”, Reglamento de Seguridad Física de Material Nuclear y Radiactivo, Acuerdo Gubernativo 469-2014.</w:t>
      </w:r>
    </w:p>
    <w:bookmarkEnd w:id="1"/>
    <w:bookmarkEnd w:id="2"/>
    <w:p w14:paraId="41D0CC9B" w14:textId="1B52B4D0" w:rsidR="00D47570" w:rsidRPr="00D2244E" w:rsidRDefault="00D2244E" w:rsidP="00D2244E">
      <w:pPr>
        <w:pStyle w:val="Ttulo"/>
        <w:spacing w:before="240" w:line="276" w:lineRule="auto"/>
        <w:ind w:left="0" w:right="714" w:firstLine="0"/>
        <w:rPr>
          <w:rFonts w:ascii="Arial" w:eastAsia="Titillium Lt" w:hAnsi="Arial" w:cs="Arial"/>
          <w:color w:val="002060"/>
          <w:sz w:val="28"/>
          <w:szCs w:val="28"/>
        </w:rPr>
      </w:pPr>
      <w:r w:rsidRPr="00D2244E">
        <w:rPr>
          <w:rFonts w:ascii="Arial" w:eastAsia="Titillium Lt" w:hAnsi="Arial" w:cs="Arial"/>
          <w:color w:val="002060"/>
          <w:sz w:val="28"/>
          <w:szCs w:val="28"/>
        </w:rPr>
        <w:t xml:space="preserve">CONSIDERACIONES: </w:t>
      </w:r>
    </w:p>
    <w:p w14:paraId="03FD8CF8" w14:textId="77777777" w:rsidR="00D47570" w:rsidRPr="00D2244E" w:rsidRDefault="00D47570" w:rsidP="00D2244E">
      <w:pPr>
        <w:spacing w:before="240" w:line="276" w:lineRule="auto"/>
        <w:jc w:val="both"/>
        <w:rPr>
          <w:rFonts w:eastAsia="Titillium Lt"/>
          <w:color w:val="002060"/>
          <w:sz w:val="24"/>
          <w:szCs w:val="24"/>
        </w:rPr>
      </w:pPr>
      <w:r w:rsidRPr="00D2244E">
        <w:rPr>
          <w:rFonts w:eastAsia="Titillium Lt"/>
          <w:color w:val="002060"/>
          <w:sz w:val="24"/>
          <w:szCs w:val="24"/>
        </w:rPr>
        <w:t xml:space="preserve">Toda solicitud o gestión debe ser dirigida al </w:t>
      </w:r>
      <w:proofErr w:type="gramStart"/>
      <w:r w:rsidRPr="00D2244E">
        <w:rPr>
          <w:rFonts w:eastAsia="Titillium Lt"/>
          <w:color w:val="002060"/>
          <w:sz w:val="24"/>
          <w:szCs w:val="24"/>
        </w:rPr>
        <w:t>Director General</w:t>
      </w:r>
      <w:proofErr w:type="gramEnd"/>
      <w:r w:rsidRPr="00D2244E">
        <w:rPr>
          <w:rFonts w:eastAsia="Titillium Lt"/>
          <w:color w:val="002060"/>
          <w:sz w:val="24"/>
          <w:szCs w:val="24"/>
        </w:rPr>
        <w:t xml:space="preserve"> de Energía.</w:t>
      </w:r>
    </w:p>
    <w:p w14:paraId="3115C39C" w14:textId="77777777" w:rsidR="00D47570" w:rsidRPr="00D2244E" w:rsidRDefault="00D47570" w:rsidP="00D2244E">
      <w:pPr>
        <w:spacing w:before="120" w:line="276" w:lineRule="auto"/>
        <w:jc w:val="both"/>
        <w:rPr>
          <w:rFonts w:eastAsia="Titillium Lt"/>
          <w:color w:val="002060"/>
          <w:sz w:val="24"/>
          <w:szCs w:val="24"/>
        </w:rPr>
      </w:pPr>
      <w:r w:rsidRPr="00D2244E">
        <w:rPr>
          <w:rFonts w:eastAsia="Titillium Lt"/>
          <w:color w:val="002060"/>
          <w:sz w:val="24"/>
          <w:szCs w:val="24"/>
        </w:rPr>
        <w:t>La documentación presentada debe ser LEGIBLE.</w:t>
      </w:r>
      <w:bookmarkStart w:id="3" w:name="_Hlk144990401"/>
    </w:p>
    <w:p w14:paraId="2AFE1662" w14:textId="77777777" w:rsidR="00D47570" w:rsidRPr="00D2244E" w:rsidRDefault="00D47570" w:rsidP="00D2244E">
      <w:pPr>
        <w:spacing w:before="120" w:line="276" w:lineRule="auto"/>
        <w:jc w:val="both"/>
        <w:rPr>
          <w:rFonts w:eastAsia="Titillium Lt"/>
          <w:color w:val="002060"/>
          <w:sz w:val="24"/>
          <w:szCs w:val="24"/>
        </w:rPr>
      </w:pPr>
      <w:r w:rsidRPr="00D2244E">
        <w:rPr>
          <w:rFonts w:eastAsia="Titillium Lt"/>
          <w:color w:val="002060"/>
          <w:sz w:val="24"/>
          <w:szCs w:val="24"/>
        </w:rPr>
        <w:t>La documentación deberá ser ingresada por medio del Sistema de Trámites en línea del Ministerio de Energía y Minas (</w:t>
      </w:r>
      <w:hyperlink r:id="rId8" w:history="1">
        <w:r w:rsidRPr="00D2244E">
          <w:rPr>
            <w:rStyle w:val="Hipervnculo"/>
            <w:rFonts w:eastAsia="Titillium Lt"/>
            <w:sz w:val="24"/>
            <w:szCs w:val="24"/>
          </w:rPr>
          <w:t>https://servicios.mem.gob.gt/</w:t>
        </w:r>
      </w:hyperlink>
      <w:r w:rsidRPr="00D2244E">
        <w:rPr>
          <w:rFonts w:eastAsia="Titillium Lt"/>
          <w:sz w:val="24"/>
          <w:szCs w:val="24"/>
        </w:rPr>
        <w:t xml:space="preserve">). </w:t>
      </w:r>
    </w:p>
    <w:p w14:paraId="70AD77DA" w14:textId="77777777" w:rsidR="00D47570" w:rsidRPr="00D2244E" w:rsidRDefault="00D47570" w:rsidP="00D2244E">
      <w:pPr>
        <w:spacing w:before="120" w:line="276" w:lineRule="auto"/>
        <w:jc w:val="both"/>
        <w:rPr>
          <w:rFonts w:eastAsia="Titillium Lt"/>
          <w:color w:val="002060"/>
          <w:sz w:val="24"/>
          <w:szCs w:val="24"/>
        </w:rPr>
      </w:pPr>
      <w:r w:rsidRPr="00D2244E">
        <w:rPr>
          <w:rFonts w:eastAsia="Titillium Lt"/>
          <w:color w:val="002060"/>
          <w:sz w:val="24"/>
          <w:szCs w:val="24"/>
        </w:rPr>
        <w:t>La solicitud de orden de pago deberá generarse en línea, en la opción “Ordenes de Pago”, una vez sea notificada, por el Departamento de Gestión Legal, la aprobación de la documentación ingresada.</w:t>
      </w:r>
    </w:p>
    <w:p w14:paraId="49DBE69F" w14:textId="77777777" w:rsidR="00D47570" w:rsidRPr="00D2244E" w:rsidRDefault="00D47570" w:rsidP="00D2244E">
      <w:pPr>
        <w:spacing w:before="120" w:line="276" w:lineRule="auto"/>
        <w:jc w:val="both"/>
        <w:rPr>
          <w:rFonts w:eastAsia="Titillium Lt"/>
          <w:color w:val="002060"/>
          <w:sz w:val="24"/>
          <w:szCs w:val="24"/>
        </w:rPr>
      </w:pPr>
      <w:r w:rsidRPr="00D2244E">
        <w:rPr>
          <w:rFonts w:eastAsia="Titillium Lt"/>
          <w:color w:val="002060"/>
          <w:sz w:val="24"/>
          <w:szCs w:val="24"/>
        </w:rPr>
        <w:t xml:space="preserve">La </w:t>
      </w:r>
      <w:r w:rsidRPr="00D2244E">
        <w:rPr>
          <w:rFonts w:eastAsia="Titillium Lt"/>
          <w:b/>
          <w:bCs/>
          <w:color w:val="002060"/>
          <w:sz w:val="24"/>
          <w:szCs w:val="24"/>
        </w:rPr>
        <w:t xml:space="preserve">“Descripción” </w:t>
      </w:r>
      <w:r w:rsidRPr="00D2244E">
        <w:rPr>
          <w:rFonts w:eastAsia="Titillium Lt"/>
          <w:color w:val="002060"/>
          <w:sz w:val="24"/>
          <w:szCs w:val="24"/>
        </w:rPr>
        <w:t>requerida para la solicitud de Orden de Pago, corresponde a la solicitud descrita en el formulario, aprobado previamente por el Departamento de Gestión Legal. Si la solicitud corresponde a varias prácticas, detallar las mismas en la “</w:t>
      </w:r>
      <w:r w:rsidRPr="00D2244E">
        <w:rPr>
          <w:rFonts w:eastAsia="Titillium Lt"/>
          <w:b/>
          <w:bCs/>
          <w:color w:val="002060"/>
          <w:sz w:val="24"/>
          <w:szCs w:val="24"/>
        </w:rPr>
        <w:t xml:space="preserve">Descripción”. </w:t>
      </w:r>
    </w:p>
    <w:p w14:paraId="142B487E" w14:textId="77777777" w:rsidR="00D47570" w:rsidRPr="00D2244E" w:rsidRDefault="00D47570" w:rsidP="00D2244E">
      <w:pPr>
        <w:spacing w:before="120" w:line="276" w:lineRule="auto"/>
        <w:jc w:val="both"/>
        <w:rPr>
          <w:rFonts w:eastAsia="Titillium Lt"/>
          <w:color w:val="002060"/>
          <w:sz w:val="24"/>
          <w:szCs w:val="24"/>
        </w:rPr>
      </w:pPr>
      <w:r w:rsidRPr="00D2244E">
        <w:rPr>
          <w:rFonts w:eastAsia="Titillium Lt"/>
          <w:color w:val="002060"/>
          <w:sz w:val="24"/>
          <w:szCs w:val="24"/>
        </w:rPr>
        <w:t xml:space="preserve">Solicitar al Departamento de Protección y Seguridad Radiológica la generación de Orden de Pago, la cual será enviada a través del casillero y correo electrónico.  </w:t>
      </w:r>
    </w:p>
    <w:p w14:paraId="5B88BE5F" w14:textId="77777777" w:rsidR="00D47570" w:rsidRPr="00D2244E" w:rsidRDefault="00D47570" w:rsidP="00D2244E">
      <w:pPr>
        <w:spacing w:before="120" w:line="276" w:lineRule="auto"/>
        <w:jc w:val="both"/>
        <w:rPr>
          <w:rFonts w:eastAsia="Titillium Lt"/>
          <w:color w:val="002060"/>
          <w:sz w:val="24"/>
          <w:szCs w:val="24"/>
        </w:rPr>
      </w:pPr>
      <w:bookmarkStart w:id="4" w:name="_Hlk144990384"/>
      <w:r w:rsidRPr="00D2244E">
        <w:rPr>
          <w:rFonts w:eastAsia="Titillium Lt"/>
          <w:color w:val="002060"/>
          <w:sz w:val="24"/>
          <w:szCs w:val="24"/>
        </w:rPr>
        <w:t>El monto se establecerá conforme el tipo de cambio del día, según referencia del Banco de Guatemala.</w:t>
      </w:r>
    </w:p>
    <w:p w14:paraId="27FC2FFC" w14:textId="77777777" w:rsidR="00D47570" w:rsidRPr="00D2244E" w:rsidRDefault="00D47570" w:rsidP="00D2244E">
      <w:pPr>
        <w:spacing w:before="120" w:line="276" w:lineRule="auto"/>
        <w:jc w:val="both"/>
        <w:rPr>
          <w:rFonts w:eastAsia="Titillium Lt"/>
          <w:color w:val="002060"/>
          <w:sz w:val="24"/>
          <w:szCs w:val="24"/>
        </w:rPr>
      </w:pPr>
      <w:r w:rsidRPr="00D2244E">
        <w:rPr>
          <w:rFonts w:eastAsia="Titillium Lt"/>
          <w:color w:val="002060"/>
          <w:sz w:val="24"/>
          <w:szCs w:val="24"/>
        </w:rPr>
        <w:t xml:space="preserve">Efectuar el pago en Banrural, según la información proporcionada en la Orden de Pago.  </w:t>
      </w:r>
    </w:p>
    <w:p w14:paraId="10C9987D" w14:textId="77777777" w:rsidR="00D47570" w:rsidRPr="00D2244E" w:rsidRDefault="00D47570" w:rsidP="00D2244E">
      <w:pPr>
        <w:spacing w:before="120" w:line="276" w:lineRule="auto"/>
        <w:jc w:val="both"/>
        <w:rPr>
          <w:rFonts w:eastAsia="Titillium Lt"/>
          <w:color w:val="002060"/>
          <w:sz w:val="24"/>
          <w:szCs w:val="24"/>
        </w:rPr>
      </w:pPr>
      <w:r w:rsidRPr="00D2244E">
        <w:rPr>
          <w:rFonts w:eastAsia="Titillium Lt"/>
          <w:color w:val="002060"/>
          <w:sz w:val="24"/>
          <w:szCs w:val="24"/>
        </w:rPr>
        <w:t xml:space="preserve">Cargar orden de pago y recibo de pago </w:t>
      </w:r>
      <w:bookmarkEnd w:id="4"/>
      <w:r w:rsidRPr="00D2244E">
        <w:rPr>
          <w:rFonts w:eastAsia="Titillium Lt"/>
          <w:color w:val="002060"/>
          <w:sz w:val="24"/>
          <w:szCs w:val="24"/>
        </w:rPr>
        <w:t>en el sistema, de conformidad con el Acuerdo Ministerial 208-2016 y Acuerdo Ministerial 230-2018.</w:t>
      </w:r>
    </w:p>
    <w:bookmarkEnd w:id="3"/>
    <w:p w14:paraId="20EBA0E5" w14:textId="77777777" w:rsidR="00D47570" w:rsidRPr="00D2244E" w:rsidRDefault="00D47570" w:rsidP="00D2244E">
      <w:pPr>
        <w:spacing w:before="120" w:line="276" w:lineRule="auto"/>
        <w:jc w:val="both"/>
        <w:rPr>
          <w:rFonts w:eastAsia="Titillium Lt"/>
          <w:color w:val="002060"/>
          <w:sz w:val="24"/>
          <w:szCs w:val="24"/>
        </w:rPr>
      </w:pPr>
      <w:r w:rsidRPr="00D2244E">
        <w:rPr>
          <w:rFonts w:eastAsia="Titillium Lt"/>
          <w:color w:val="002060"/>
          <w:sz w:val="24"/>
          <w:szCs w:val="24"/>
        </w:rPr>
        <w:t>El ingreso del expediente no implica la aprobación de la licencia requerida.</w:t>
      </w:r>
    </w:p>
    <w:p w14:paraId="0A882E7D" w14:textId="77777777" w:rsidR="00D47570" w:rsidRPr="00D2244E" w:rsidRDefault="00D47570" w:rsidP="00D2244E">
      <w:pPr>
        <w:spacing w:before="120" w:line="276" w:lineRule="auto"/>
        <w:jc w:val="both"/>
        <w:rPr>
          <w:rFonts w:eastAsia="Titillium Lt"/>
          <w:color w:val="002060"/>
          <w:sz w:val="24"/>
          <w:szCs w:val="24"/>
        </w:rPr>
      </w:pPr>
      <w:r w:rsidRPr="00D2244E">
        <w:rPr>
          <w:rFonts w:eastAsia="Titillium Lt"/>
          <w:color w:val="002060"/>
          <w:sz w:val="24"/>
          <w:szCs w:val="24"/>
        </w:rPr>
        <w:t>El único Departamento autorizado por la DGE, para proporcionar información sobre el estado de un expediente en trámite, es el Departamento de Gestión Legal.</w:t>
      </w:r>
    </w:p>
    <w:p w14:paraId="477FC1DE" w14:textId="77777777" w:rsidR="00AF2030" w:rsidRPr="00D2244E" w:rsidRDefault="00AF2030" w:rsidP="00D2244E">
      <w:pPr>
        <w:spacing w:before="240" w:line="276" w:lineRule="auto"/>
        <w:jc w:val="both"/>
        <w:rPr>
          <w:rFonts w:eastAsia="Titillium Lt"/>
          <w:b/>
          <w:color w:val="002060"/>
          <w:sz w:val="24"/>
          <w:szCs w:val="24"/>
          <w:u w:val="single"/>
        </w:rPr>
      </w:pPr>
      <w:r w:rsidRPr="00D2244E">
        <w:rPr>
          <w:rFonts w:eastAsia="Titillium Lt"/>
          <w:b/>
          <w:color w:val="002060"/>
          <w:sz w:val="24"/>
          <w:szCs w:val="24"/>
          <w:u w:val="single"/>
        </w:rPr>
        <w:lastRenderedPageBreak/>
        <w:t xml:space="preserve">Descargar formularios: </w:t>
      </w:r>
    </w:p>
    <w:p w14:paraId="0B3D3293" w14:textId="77777777" w:rsidR="00AF2030" w:rsidRPr="00D2244E" w:rsidRDefault="00AF2030" w:rsidP="00D2244E">
      <w:pPr>
        <w:widowControl/>
        <w:spacing w:line="276" w:lineRule="auto"/>
        <w:jc w:val="both"/>
        <w:rPr>
          <w:rFonts w:eastAsia="Titillium Lt"/>
          <w:color w:val="002060"/>
          <w:sz w:val="24"/>
          <w:szCs w:val="24"/>
        </w:rPr>
      </w:pPr>
      <w:r w:rsidRPr="00D2244E">
        <w:rPr>
          <w:rFonts w:eastAsia="Titillium Lt"/>
          <w:color w:val="002060"/>
          <w:sz w:val="24"/>
          <w:szCs w:val="24"/>
        </w:rPr>
        <w:t xml:space="preserve">Deben ser llenados, impresos, firmados y digitalizados para cargarlos al sistema en el espacio que le corresponde. </w:t>
      </w:r>
    </w:p>
    <w:p w14:paraId="45C9EB79" w14:textId="77777777" w:rsidR="00AF2030" w:rsidRPr="00D2244E" w:rsidRDefault="00AF2030" w:rsidP="00D2244E">
      <w:pPr>
        <w:widowControl/>
        <w:spacing w:line="276" w:lineRule="auto"/>
        <w:jc w:val="both"/>
        <w:rPr>
          <w:rFonts w:eastAsia="Titillium Lt"/>
          <w:color w:val="002060"/>
          <w:sz w:val="24"/>
          <w:szCs w:val="24"/>
        </w:rPr>
      </w:pPr>
    </w:p>
    <w:p w14:paraId="6E5B5207" w14:textId="4C9B006A" w:rsidR="00AF2030" w:rsidRPr="00D2244E" w:rsidRDefault="00AF2030" w:rsidP="00D2244E">
      <w:pPr>
        <w:widowControl/>
        <w:spacing w:line="276" w:lineRule="auto"/>
        <w:jc w:val="both"/>
        <w:rPr>
          <w:rFonts w:eastAsia="Titillium Lt"/>
          <w:color w:val="002060"/>
          <w:sz w:val="24"/>
          <w:szCs w:val="24"/>
        </w:rPr>
      </w:pPr>
      <w:r w:rsidRPr="00D2244E">
        <w:rPr>
          <w:rFonts w:eastAsia="Titillium Lt"/>
          <w:color w:val="002060"/>
          <w:sz w:val="24"/>
          <w:szCs w:val="24"/>
        </w:rPr>
        <w:t>DGE-0</w:t>
      </w:r>
      <w:r w:rsidR="00D2244E" w:rsidRPr="00D2244E">
        <w:rPr>
          <w:rFonts w:eastAsia="Titillium Lt"/>
          <w:color w:val="002060"/>
          <w:sz w:val="24"/>
          <w:szCs w:val="24"/>
        </w:rPr>
        <w:t>5</w:t>
      </w:r>
    </w:p>
    <w:p w14:paraId="4066C4EA" w14:textId="77777777" w:rsidR="00AF2030" w:rsidRPr="00D2244E" w:rsidRDefault="00AF2030" w:rsidP="00D2244E">
      <w:pPr>
        <w:spacing w:before="240" w:after="120" w:line="276" w:lineRule="auto"/>
        <w:jc w:val="both"/>
        <w:rPr>
          <w:rFonts w:eastAsia="Titillium Lt"/>
          <w:b/>
          <w:color w:val="002060"/>
          <w:sz w:val="24"/>
          <w:szCs w:val="24"/>
          <w:u w:val="single"/>
        </w:rPr>
      </w:pPr>
      <w:r w:rsidRPr="00D2244E">
        <w:rPr>
          <w:rFonts w:eastAsia="Titillium Lt"/>
          <w:b/>
          <w:color w:val="002060"/>
          <w:sz w:val="24"/>
          <w:szCs w:val="24"/>
          <w:u w:val="single"/>
        </w:rPr>
        <w:t>Pasos a seguir:</w:t>
      </w:r>
    </w:p>
    <w:p w14:paraId="0B128FD9" w14:textId="77777777" w:rsidR="00D47570" w:rsidRPr="00D2244E" w:rsidRDefault="00D47570" w:rsidP="00D2244E">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sz w:val="24"/>
          <w:szCs w:val="24"/>
        </w:rPr>
      </w:pPr>
      <w:bookmarkStart w:id="5" w:name="_Hlk144990410"/>
      <w:bookmarkStart w:id="6" w:name="_Hlk144990964"/>
      <w:r w:rsidRPr="00D2244E">
        <w:rPr>
          <w:rFonts w:eastAsia="Titillium Lt"/>
          <w:color w:val="002060"/>
          <w:sz w:val="24"/>
          <w:szCs w:val="24"/>
        </w:rPr>
        <w:t xml:space="preserve">Crear un usuario y contraseña (adherirse al sistema y a las notificaciones electrónicas), o si ya cuenta con usuario solamente debe ingresar al sistema, en el siguiente link: </w:t>
      </w:r>
      <w:r w:rsidRPr="00D2244E">
        <w:rPr>
          <w:rFonts w:eastAsia="Titillium Lt"/>
          <w:color w:val="002060"/>
          <w:sz w:val="24"/>
          <w:szCs w:val="24"/>
          <w:u w:val="single"/>
        </w:rPr>
        <w:t xml:space="preserve"> </w:t>
      </w:r>
      <w:hyperlink r:id="rId9">
        <w:r w:rsidRPr="00D2244E">
          <w:rPr>
            <w:rFonts w:eastAsia="Titillium Lt"/>
            <w:color w:val="002060"/>
            <w:sz w:val="24"/>
            <w:szCs w:val="24"/>
            <w:u w:val="single"/>
          </w:rPr>
          <w:t>https://servicios.mem.gob.gt/</w:t>
        </w:r>
      </w:hyperlink>
      <w:r w:rsidRPr="00D2244E">
        <w:rPr>
          <w:rFonts w:eastAsia="Titillium Lt"/>
          <w:color w:val="002060"/>
          <w:sz w:val="24"/>
          <w:szCs w:val="24"/>
          <w:u w:val="single"/>
        </w:rPr>
        <w:t xml:space="preserve"> </w:t>
      </w:r>
    </w:p>
    <w:p w14:paraId="62251D85" w14:textId="77777777" w:rsidR="00D47570" w:rsidRPr="00D2244E" w:rsidRDefault="00D47570" w:rsidP="00D2244E">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sz w:val="24"/>
          <w:szCs w:val="24"/>
        </w:rPr>
      </w:pPr>
      <w:r w:rsidRPr="00D2244E">
        <w:rPr>
          <w:rFonts w:eastAsia="Titillium Lt"/>
          <w:color w:val="002060"/>
          <w:sz w:val="24"/>
          <w:szCs w:val="24"/>
        </w:rPr>
        <w:t>Al completar los documentos solicitados en los requisitos, debe continuar el trámite digitalmente</w:t>
      </w:r>
    </w:p>
    <w:p w14:paraId="44EA5F2B" w14:textId="77777777" w:rsidR="00D47570" w:rsidRPr="00D2244E" w:rsidRDefault="00D47570" w:rsidP="00D2244E">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sz w:val="24"/>
          <w:szCs w:val="24"/>
        </w:rPr>
      </w:pPr>
      <w:r w:rsidRPr="00D2244E">
        <w:rPr>
          <w:rFonts w:eastAsia="Titillium Lt"/>
          <w:color w:val="002060"/>
          <w:sz w:val="24"/>
          <w:szCs w:val="24"/>
        </w:rPr>
        <w:t>Seleccione el tipo de trámite a realizar y cargue al sistema los documentos.</w:t>
      </w:r>
    </w:p>
    <w:p w14:paraId="4153F656" w14:textId="5AD7EB70" w:rsidR="001A3D46" w:rsidRPr="00D2244E" w:rsidRDefault="00D47570" w:rsidP="00D2244E">
      <w:pPr>
        <w:widowControl/>
        <w:numPr>
          <w:ilvl w:val="0"/>
          <w:numId w:val="26"/>
        </w:numPr>
        <w:pBdr>
          <w:top w:val="nil"/>
          <w:left w:val="nil"/>
          <w:bottom w:val="nil"/>
          <w:right w:val="nil"/>
          <w:between w:val="nil"/>
        </w:pBdr>
        <w:spacing w:before="120" w:line="276" w:lineRule="auto"/>
        <w:ind w:left="851" w:right="28" w:hanging="567"/>
        <w:jc w:val="both"/>
        <w:rPr>
          <w:sz w:val="24"/>
          <w:szCs w:val="24"/>
        </w:rPr>
      </w:pPr>
      <w:r w:rsidRPr="00D2244E">
        <w:rPr>
          <w:rFonts w:eastAsia="Titillium Lt"/>
          <w:color w:val="002060"/>
          <w:sz w:val="24"/>
          <w:szCs w:val="24"/>
        </w:rPr>
        <w:t>Verifique en su casillero y correo electrónico el resultado final de su gestión.</w:t>
      </w:r>
      <w:bookmarkEnd w:id="5"/>
      <w:bookmarkEnd w:id="6"/>
    </w:p>
    <w:sectPr w:rsidR="001A3D46" w:rsidRPr="00D2244E"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FBFF" w14:textId="77777777" w:rsidR="005A4906" w:rsidRDefault="005A4906" w:rsidP="009605AA">
      <w:r>
        <w:separator/>
      </w:r>
    </w:p>
  </w:endnote>
  <w:endnote w:type="continuationSeparator" w:id="0">
    <w:p w14:paraId="4C5315B6" w14:textId="77777777" w:rsidR="005A4906" w:rsidRDefault="005A4906"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789A" w14:textId="77777777" w:rsidR="005A4906" w:rsidRDefault="005A4906" w:rsidP="009605AA">
      <w:r>
        <w:separator/>
      </w:r>
    </w:p>
  </w:footnote>
  <w:footnote w:type="continuationSeparator" w:id="0">
    <w:p w14:paraId="474FAD67" w14:textId="77777777" w:rsidR="005A4906" w:rsidRDefault="005A4906"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0"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1"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8"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9"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6"/>
  </w:num>
  <w:num w:numId="2">
    <w:abstractNumId w:val="14"/>
  </w:num>
  <w:num w:numId="3">
    <w:abstractNumId w:val="0"/>
  </w:num>
  <w:num w:numId="4">
    <w:abstractNumId w:val="10"/>
  </w:num>
  <w:num w:numId="5">
    <w:abstractNumId w:val="25"/>
  </w:num>
  <w:num w:numId="6">
    <w:abstractNumId w:val="26"/>
  </w:num>
  <w:num w:numId="7">
    <w:abstractNumId w:val="13"/>
  </w:num>
  <w:num w:numId="8">
    <w:abstractNumId w:val="18"/>
  </w:num>
  <w:num w:numId="9">
    <w:abstractNumId w:val="20"/>
  </w:num>
  <w:num w:numId="10">
    <w:abstractNumId w:val="6"/>
  </w:num>
  <w:num w:numId="11">
    <w:abstractNumId w:val="3"/>
  </w:num>
  <w:num w:numId="12">
    <w:abstractNumId w:val="15"/>
  </w:num>
  <w:num w:numId="13">
    <w:abstractNumId w:val="17"/>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7"/>
  </w:num>
  <w:num w:numId="19">
    <w:abstractNumId w:val="19"/>
  </w:num>
  <w:num w:numId="20">
    <w:abstractNumId w:val="8"/>
  </w:num>
  <w:num w:numId="21">
    <w:abstractNumId w:val="1"/>
  </w:num>
  <w:num w:numId="22">
    <w:abstractNumId w:val="22"/>
  </w:num>
  <w:num w:numId="23">
    <w:abstractNumId w:val="11"/>
  </w:num>
  <w:num w:numId="24">
    <w:abstractNumId w:val="24"/>
  </w:num>
  <w:num w:numId="25">
    <w:abstractNumId w:val="23"/>
  </w:num>
  <w:num w:numId="26">
    <w:abstractNumId w:val="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5TS481whs4/BcgGs2sYwW5PwPapWpbCG5EQLvybKHqTqW9jqsBV8psJ/oZYELm5ysLwKfC51y0B/8mROOWguvA==" w:salt="YfcKKgkjTTU8pHIrmFHdiQ=="/>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7310"/>
    <w:rsid w:val="00041C30"/>
    <w:rsid w:val="000878D3"/>
    <w:rsid w:val="0009682D"/>
    <w:rsid w:val="000A05A0"/>
    <w:rsid w:val="000A1A2E"/>
    <w:rsid w:val="000A2BB2"/>
    <w:rsid w:val="000C3D8D"/>
    <w:rsid w:val="000D0BEA"/>
    <w:rsid w:val="00102757"/>
    <w:rsid w:val="00102B1E"/>
    <w:rsid w:val="00107B03"/>
    <w:rsid w:val="00110DD5"/>
    <w:rsid w:val="00110F58"/>
    <w:rsid w:val="0012302C"/>
    <w:rsid w:val="00131A75"/>
    <w:rsid w:val="00153FA5"/>
    <w:rsid w:val="001566B8"/>
    <w:rsid w:val="00164AFE"/>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5229"/>
    <w:rsid w:val="002A24E6"/>
    <w:rsid w:val="002A4BFE"/>
    <w:rsid w:val="002A64F2"/>
    <w:rsid w:val="002D6B87"/>
    <w:rsid w:val="002E3854"/>
    <w:rsid w:val="003129DA"/>
    <w:rsid w:val="00315157"/>
    <w:rsid w:val="0032497A"/>
    <w:rsid w:val="00335169"/>
    <w:rsid w:val="00341A31"/>
    <w:rsid w:val="003670C8"/>
    <w:rsid w:val="0039175C"/>
    <w:rsid w:val="003951EF"/>
    <w:rsid w:val="003B33FB"/>
    <w:rsid w:val="003D6046"/>
    <w:rsid w:val="003E0C2B"/>
    <w:rsid w:val="00405670"/>
    <w:rsid w:val="00424927"/>
    <w:rsid w:val="0042769B"/>
    <w:rsid w:val="00432DB5"/>
    <w:rsid w:val="00452D87"/>
    <w:rsid w:val="00453DF3"/>
    <w:rsid w:val="00465AAC"/>
    <w:rsid w:val="00480C78"/>
    <w:rsid w:val="004C59D0"/>
    <w:rsid w:val="004F2CB5"/>
    <w:rsid w:val="0051762B"/>
    <w:rsid w:val="005177F0"/>
    <w:rsid w:val="0052266C"/>
    <w:rsid w:val="00523AF3"/>
    <w:rsid w:val="00524002"/>
    <w:rsid w:val="00551B4F"/>
    <w:rsid w:val="005571F5"/>
    <w:rsid w:val="005649C4"/>
    <w:rsid w:val="00565892"/>
    <w:rsid w:val="00566C3B"/>
    <w:rsid w:val="00572950"/>
    <w:rsid w:val="005771DC"/>
    <w:rsid w:val="00584A73"/>
    <w:rsid w:val="00585821"/>
    <w:rsid w:val="00595DF3"/>
    <w:rsid w:val="005A4906"/>
    <w:rsid w:val="005A7977"/>
    <w:rsid w:val="005C469A"/>
    <w:rsid w:val="005E49DD"/>
    <w:rsid w:val="005F6D9E"/>
    <w:rsid w:val="006161AF"/>
    <w:rsid w:val="00652634"/>
    <w:rsid w:val="00660420"/>
    <w:rsid w:val="00685AC3"/>
    <w:rsid w:val="00695D09"/>
    <w:rsid w:val="006A4D08"/>
    <w:rsid w:val="006B6466"/>
    <w:rsid w:val="006F7958"/>
    <w:rsid w:val="00706E03"/>
    <w:rsid w:val="00723D48"/>
    <w:rsid w:val="007270AD"/>
    <w:rsid w:val="0073149A"/>
    <w:rsid w:val="00764915"/>
    <w:rsid w:val="00777995"/>
    <w:rsid w:val="00777D4D"/>
    <w:rsid w:val="0078094B"/>
    <w:rsid w:val="00792A0D"/>
    <w:rsid w:val="007973EB"/>
    <w:rsid w:val="00797D6D"/>
    <w:rsid w:val="007A1536"/>
    <w:rsid w:val="007A561D"/>
    <w:rsid w:val="007B5BEA"/>
    <w:rsid w:val="007B7140"/>
    <w:rsid w:val="007C0259"/>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400F3"/>
    <w:rsid w:val="00A4438D"/>
    <w:rsid w:val="00A44C30"/>
    <w:rsid w:val="00A578E0"/>
    <w:rsid w:val="00A6156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72FE"/>
    <w:rsid w:val="00B95EE4"/>
    <w:rsid w:val="00BC38CC"/>
    <w:rsid w:val="00BD62E9"/>
    <w:rsid w:val="00C16AD5"/>
    <w:rsid w:val="00C23460"/>
    <w:rsid w:val="00C53D5A"/>
    <w:rsid w:val="00C901B3"/>
    <w:rsid w:val="00C96026"/>
    <w:rsid w:val="00C9747C"/>
    <w:rsid w:val="00CA0392"/>
    <w:rsid w:val="00CB7698"/>
    <w:rsid w:val="00CC118A"/>
    <w:rsid w:val="00CC4740"/>
    <w:rsid w:val="00CD0F52"/>
    <w:rsid w:val="00CD20A7"/>
    <w:rsid w:val="00CD5316"/>
    <w:rsid w:val="00CF3A44"/>
    <w:rsid w:val="00D11213"/>
    <w:rsid w:val="00D2244E"/>
    <w:rsid w:val="00D27633"/>
    <w:rsid w:val="00D45342"/>
    <w:rsid w:val="00D4640F"/>
    <w:rsid w:val="00D47570"/>
    <w:rsid w:val="00D64535"/>
    <w:rsid w:val="00D7067D"/>
    <w:rsid w:val="00D75392"/>
    <w:rsid w:val="00DA0D2D"/>
    <w:rsid w:val="00DC7104"/>
    <w:rsid w:val="00DD22EA"/>
    <w:rsid w:val="00DE6971"/>
    <w:rsid w:val="00E01A1D"/>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573B5"/>
    <w:rsid w:val="00F63B14"/>
    <w:rsid w:val="00F726FA"/>
    <w:rsid w:val="00F763A9"/>
    <w:rsid w:val="00F85FCE"/>
    <w:rsid w:val="00F87048"/>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713</Words>
  <Characters>3926</Characters>
  <Application>Microsoft Office Word</Application>
  <DocSecurity>8</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4</cp:revision>
  <cp:lastPrinted>2024-02-28T20:15:00Z</cp:lastPrinted>
  <dcterms:created xsi:type="dcterms:W3CDTF">2024-03-01T17:23:00Z</dcterms:created>
  <dcterms:modified xsi:type="dcterms:W3CDTF">2024-03-01T19:24:00Z</dcterms:modified>
</cp:coreProperties>
</file>