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7EA6" w14:textId="77777777" w:rsidR="0034312E" w:rsidRPr="0034312E" w:rsidRDefault="0034312E" w:rsidP="0034312E">
      <w:pPr>
        <w:pStyle w:val="Ttulo"/>
        <w:spacing w:line="276" w:lineRule="auto"/>
        <w:ind w:left="0" w:right="15" w:firstLine="0"/>
        <w:jc w:val="center"/>
        <w:rPr>
          <w:rFonts w:ascii="Arial" w:eastAsia="Titillium Lt" w:hAnsi="Arial" w:cs="Arial"/>
          <w:color w:val="002060"/>
          <w:sz w:val="28"/>
          <w:szCs w:val="28"/>
        </w:rPr>
      </w:pPr>
      <w:r w:rsidRPr="0034312E">
        <w:rPr>
          <w:rFonts w:ascii="Arial" w:eastAsia="Titillium Lt" w:hAnsi="Arial" w:cs="Arial"/>
          <w:color w:val="002060"/>
          <w:sz w:val="28"/>
          <w:szCs w:val="28"/>
        </w:rPr>
        <w:t>LICENCIA DE TRANSPORTE DE MATERIALES RADIACTIVOS</w:t>
      </w:r>
    </w:p>
    <w:p w14:paraId="25EB5A02" w14:textId="78308F7E" w:rsidR="0034312E" w:rsidRPr="0034312E" w:rsidRDefault="0034312E" w:rsidP="0034312E">
      <w:pPr>
        <w:pStyle w:val="Ttulo"/>
        <w:spacing w:before="240" w:line="276" w:lineRule="auto"/>
        <w:ind w:left="0" w:right="714" w:firstLine="0"/>
        <w:rPr>
          <w:rFonts w:ascii="Arial" w:eastAsia="Titillium Lt" w:hAnsi="Arial" w:cs="Arial"/>
          <w:color w:val="002060"/>
          <w:sz w:val="24"/>
          <w:szCs w:val="24"/>
        </w:rPr>
      </w:pPr>
      <w:r w:rsidRPr="0034312E">
        <w:rPr>
          <w:rFonts w:ascii="Arial" w:hAnsi="Arial" w:cs="Arial"/>
          <w:noProof/>
          <w:sz w:val="24"/>
          <w:szCs w:val="24"/>
        </w:rPr>
        <mc:AlternateContent>
          <mc:Choice Requires="wps">
            <w:drawing>
              <wp:anchor distT="0" distB="0" distL="114300" distR="114300" simplePos="0" relativeHeight="251659264" behindDoc="0" locked="0" layoutInCell="1" allowOverlap="1" wp14:anchorId="500A7C8D" wp14:editId="33E8263D">
                <wp:simplePos x="0" y="0"/>
                <wp:positionH relativeFrom="margin">
                  <wp:align>right</wp:align>
                </wp:positionH>
                <wp:positionV relativeFrom="paragraph">
                  <wp:posOffset>165735</wp:posOffset>
                </wp:positionV>
                <wp:extent cx="2160000" cy="1440000"/>
                <wp:effectExtent l="0" t="0" r="12065" b="27305"/>
                <wp:wrapSquare wrapText="bothSides"/>
                <wp:docPr id="5" name="Rectángulo: esquinas redondeadas 5"/>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3D590C02" w14:textId="77777777" w:rsidR="0034312E" w:rsidRPr="0034312E" w:rsidRDefault="0034312E" w:rsidP="0034312E">
                            <w:pPr>
                              <w:jc w:val="both"/>
                            </w:pPr>
                            <w:r w:rsidRPr="0034312E">
                              <w:rPr>
                                <w:rFonts w:eastAsia="Titillium Lt"/>
                                <w:b/>
                                <w:color w:val="002060"/>
                              </w:rPr>
                              <w:t>Resultado del trámite:</w:t>
                            </w:r>
                          </w:p>
                          <w:p w14:paraId="1C2E79F4" w14:textId="77777777" w:rsidR="0034312E" w:rsidRPr="0034312E" w:rsidRDefault="0034312E" w:rsidP="0034312E">
                            <w:pPr>
                              <w:jc w:val="both"/>
                            </w:pPr>
                            <w:r w:rsidRPr="0034312E">
                              <w:rPr>
                                <w:rFonts w:eastAsia="Titillium Lt"/>
                                <w:color w:val="002060"/>
                              </w:rPr>
                              <w:t>Obtención de Licencia</w:t>
                            </w:r>
                          </w:p>
                          <w:p w14:paraId="3E093538" w14:textId="77777777" w:rsidR="0034312E" w:rsidRPr="0034312E" w:rsidRDefault="0034312E" w:rsidP="0034312E">
                            <w:pPr>
                              <w:jc w:val="both"/>
                            </w:pPr>
                          </w:p>
                          <w:p w14:paraId="024B8C4D" w14:textId="77777777" w:rsidR="0034312E" w:rsidRPr="0034312E" w:rsidRDefault="0034312E" w:rsidP="0034312E">
                            <w:pPr>
                              <w:jc w:val="both"/>
                              <w:rPr>
                                <w:rFonts w:eastAsia="Titillium Lt"/>
                                <w:b/>
                                <w:color w:val="002060"/>
                              </w:rPr>
                            </w:pPr>
                            <w:r w:rsidRPr="0034312E">
                              <w:rPr>
                                <w:rFonts w:eastAsia="Titillium Lt"/>
                                <w:b/>
                                <w:color w:val="002060"/>
                              </w:rPr>
                              <w:t xml:space="preserve">Costo del trámite: </w:t>
                            </w:r>
                          </w:p>
                          <w:p w14:paraId="2752091E" w14:textId="77777777" w:rsidR="0034312E" w:rsidRPr="0034312E" w:rsidRDefault="0034312E" w:rsidP="0034312E">
                            <w:pPr>
                              <w:jc w:val="both"/>
                              <w:rPr>
                                <w:bCs/>
                              </w:rPr>
                            </w:pPr>
                            <w:r w:rsidRPr="0034312E">
                              <w:rPr>
                                <w:rFonts w:eastAsia="Titillium Lt"/>
                                <w:bCs/>
                                <w:color w:val="002060"/>
                              </w:rPr>
                              <w:t>$50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500A7C8D" id="Rectángulo: esquinas redondeadas 5"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" fillcolor="white [3201]" strokecolor="#002060" strokeweight="2pt">
                <v:stroke startarrowwidth="narrow" startarrowlength="short" endarrowwidth="narrow" endarrowlength="short"/>
                <v:textbox inset="2.53958mm,1.2694mm,2.53958mm,1.2694mm">
                  <w:txbxContent>
                    <w:p w14:paraId="3D590C02" w14:textId="77777777" w:rsidR="0034312E" w:rsidRPr="0034312E" w:rsidRDefault="0034312E" w:rsidP="0034312E">
                      <w:pPr>
                        <w:jc w:val="both"/>
                      </w:pPr>
                      <w:r w:rsidRPr="0034312E">
                        <w:rPr>
                          <w:rFonts w:eastAsia="Titillium Lt"/>
                          <w:b/>
                          <w:color w:val="002060"/>
                        </w:rPr>
                        <w:t>Resultado del trámite:</w:t>
                      </w:r>
                    </w:p>
                    <w:p w14:paraId="1C2E79F4" w14:textId="77777777" w:rsidR="0034312E" w:rsidRPr="0034312E" w:rsidRDefault="0034312E" w:rsidP="0034312E">
                      <w:pPr>
                        <w:jc w:val="both"/>
                      </w:pPr>
                      <w:r w:rsidRPr="0034312E">
                        <w:rPr>
                          <w:rFonts w:eastAsia="Titillium Lt"/>
                          <w:color w:val="002060"/>
                        </w:rPr>
                        <w:t>Obtención de Licencia</w:t>
                      </w:r>
                    </w:p>
                    <w:p w14:paraId="3E093538" w14:textId="77777777" w:rsidR="0034312E" w:rsidRPr="0034312E" w:rsidRDefault="0034312E" w:rsidP="0034312E">
                      <w:pPr>
                        <w:jc w:val="both"/>
                      </w:pPr>
                    </w:p>
                    <w:p w14:paraId="024B8C4D" w14:textId="77777777" w:rsidR="0034312E" w:rsidRPr="0034312E" w:rsidRDefault="0034312E" w:rsidP="0034312E">
                      <w:pPr>
                        <w:jc w:val="both"/>
                        <w:rPr>
                          <w:rFonts w:eastAsia="Titillium Lt"/>
                          <w:b/>
                          <w:color w:val="002060"/>
                        </w:rPr>
                      </w:pPr>
                      <w:r w:rsidRPr="0034312E">
                        <w:rPr>
                          <w:rFonts w:eastAsia="Titillium Lt"/>
                          <w:b/>
                          <w:color w:val="002060"/>
                        </w:rPr>
                        <w:t xml:space="preserve">Costo del trámite: </w:t>
                      </w:r>
                    </w:p>
                    <w:p w14:paraId="2752091E" w14:textId="77777777" w:rsidR="0034312E" w:rsidRPr="0034312E" w:rsidRDefault="0034312E" w:rsidP="0034312E">
                      <w:pPr>
                        <w:jc w:val="both"/>
                        <w:rPr>
                          <w:bCs/>
                        </w:rPr>
                      </w:pPr>
                      <w:r w:rsidRPr="0034312E">
                        <w:rPr>
                          <w:rFonts w:eastAsia="Titillium Lt"/>
                          <w:bCs/>
                          <w:color w:val="002060"/>
                        </w:rPr>
                        <w:t>$50 + cargo por servicios financieros</w:t>
                      </w:r>
                    </w:p>
                  </w:txbxContent>
                </v:textbox>
                <w10:wrap type="square" anchorx="margin"/>
              </v:roundrect>
            </w:pict>
          </mc:Fallback>
        </mc:AlternateContent>
      </w:r>
      <w:r w:rsidRPr="0034312E">
        <w:rPr>
          <w:rFonts w:ascii="Arial" w:eastAsia="Titillium Lt" w:hAnsi="Arial" w:cs="Arial"/>
          <w:color w:val="002060"/>
          <w:sz w:val="24"/>
          <w:szCs w:val="24"/>
        </w:rPr>
        <w:t>DESCRIPCIÓN DEL TRÁMITE:</w:t>
      </w:r>
    </w:p>
    <w:p w14:paraId="50E8BEF0" w14:textId="77777777" w:rsidR="0034312E" w:rsidRPr="0034312E" w:rsidRDefault="0034312E" w:rsidP="0034312E">
      <w:pPr>
        <w:tabs>
          <w:tab w:val="left" w:pos="1134"/>
        </w:tabs>
        <w:spacing w:line="276" w:lineRule="auto"/>
        <w:jc w:val="both"/>
        <w:rPr>
          <w:rFonts w:eastAsia="Titillium Lt"/>
          <w:color w:val="002060"/>
        </w:rPr>
      </w:pPr>
      <w:r w:rsidRPr="0034312E">
        <w:rPr>
          <w:rFonts w:eastAsia="Titillium Lt"/>
          <w:color w:val="002060"/>
        </w:rPr>
        <w:t>La licencia es el permiso escrito, otorgado por la Dirección General de Energía -DGE-, para transportar materiales radiactivos.</w:t>
      </w:r>
    </w:p>
    <w:p w14:paraId="0BF1F095" w14:textId="2769FEB5" w:rsidR="0034312E" w:rsidRPr="0034312E" w:rsidRDefault="0034312E" w:rsidP="0034312E">
      <w:pPr>
        <w:pStyle w:val="Ttulo"/>
        <w:spacing w:before="240" w:line="276" w:lineRule="auto"/>
        <w:ind w:left="0" w:right="714" w:firstLine="0"/>
        <w:rPr>
          <w:rFonts w:ascii="Arial" w:eastAsia="Titillium Lt" w:hAnsi="Arial" w:cs="Arial"/>
          <w:color w:val="002060"/>
          <w:sz w:val="24"/>
          <w:szCs w:val="24"/>
        </w:rPr>
      </w:pPr>
      <w:r w:rsidRPr="0034312E">
        <w:rPr>
          <w:rFonts w:ascii="Arial" w:eastAsia="Titillium Lt" w:hAnsi="Arial" w:cs="Arial"/>
          <w:color w:val="002060"/>
          <w:sz w:val="24"/>
          <w:szCs w:val="24"/>
        </w:rPr>
        <w:t xml:space="preserve">BASE LEGAL: </w:t>
      </w:r>
    </w:p>
    <w:p w14:paraId="5BA72D1D" w14:textId="77777777" w:rsidR="0034312E" w:rsidRPr="0034312E" w:rsidRDefault="0034312E" w:rsidP="0034312E">
      <w:pPr>
        <w:spacing w:line="276" w:lineRule="auto"/>
        <w:jc w:val="both"/>
        <w:rPr>
          <w:sz w:val="20"/>
          <w:szCs w:val="20"/>
        </w:rPr>
      </w:pPr>
      <w:r w:rsidRPr="0034312E">
        <w:rPr>
          <w:rFonts w:eastAsia="Titillium Lt"/>
          <w:color w:val="002060"/>
          <w:szCs w:val="20"/>
        </w:rPr>
        <w:t>Decreto Ley 11-86, Ley para el Control, Uso y Aplicación de Radioisótopos y Radiaciones Ionizantes y sus Reglamentos.</w:t>
      </w:r>
    </w:p>
    <w:p w14:paraId="377A9916" w14:textId="3457B27D" w:rsidR="0034312E" w:rsidRPr="0034312E" w:rsidRDefault="0034312E" w:rsidP="0034312E">
      <w:pPr>
        <w:pStyle w:val="Ttulo"/>
        <w:spacing w:before="240" w:line="276" w:lineRule="auto"/>
        <w:ind w:left="0" w:right="714" w:firstLine="0"/>
        <w:rPr>
          <w:rFonts w:ascii="Arial" w:eastAsia="Titillium Lt" w:hAnsi="Arial" w:cs="Arial"/>
          <w:color w:val="002060"/>
          <w:sz w:val="24"/>
          <w:szCs w:val="24"/>
        </w:rPr>
      </w:pPr>
      <w:r w:rsidRPr="0034312E">
        <w:rPr>
          <w:rFonts w:ascii="Arial" w:eastAsia="Titillium Lt" w:hAnsi="Arial" w:cs="Arial"/>
          <w:color w:val="002060"/>
          <w:sz w:val="24"/>
          <w:szCs w:val="24"/>
        </w:rPr>
        <w:t>REQUISITOS:</w:t>
      </w:r>
    </w:p>
    <w:p w14:paraId="754FBBE1" w14:textId="77777777" w:rsidR="0034312E" w:rsidRPr="0034312E" w:rsidRDefault="0034312E" w:rsidP="0034312E">
      <w:pPr>
        <w:spacing w:line="276" w:lineRule="auto"/>
        <w:jc w:val="both"/>
        <w:rPr>
          <w:rFonts w:eastAsia="Titillium Lt"/>
          <w:color w:val="002060"/>
        </w:rPr>
      </w:pPr>
      <w:r w:rsidRPr="0034312E">
        <w:rPr>
          <w:rFonts w:eastAsia="Titillium Lt"/>
          <w:color w:val="002060"/>
        </w:rPr>
        <w:t xml:space="preserve">A continuación, se detallan los documentos que debe cargar al sistema, de manera separada, así mismo, todos los documentos a presentar deben de estar </w:t>
      </w:r>
      <w:r w:rsidRPr="0034312E">
        <w:rPr>
          <w:rFonts w:eastAsia="Titillium Lt"/>
          <w:b/>
          <w:bCs/>
          <w:color w:val="002060"/>
        </w:rPr>
        <w:t>vigentes</w:t>
      </w:r>
      <w:r w:rsidRPr="0034312E">
        <w:rPr>
          <w:rFonts w:eastAsia="Titillium Lt"/>
          <w:color w:val="002060"/>
        </w:rPr>
        <w:t xml:space="preserve"> a la fecha. </w:t>
      </w:r>
    </w:p>
    <w:p w14:paraId="0EE78D3E" w14:textId="77777777" w:rsidR="0034312E" w:rsidRPr="0034312E" w:rsidRDefault="0034312E" w:rsidP="0034312E">
      <w:pPr>
        <w:spacing w:line="276" w:lineRule="auto"/>
        <w:jc w:val="both"/>
        <w:rPr>
          <w:rFonts w:eastAsia="Titillium Lt"/>
          <w:color w:val="002060"/>
        </w:rPr>
      </w:pPr>
    </w:p>
    <w:p w14:paraId="64224994" w14:textId="77777777" w:rsidR="0034312E" w:rsidRPr="0034312E" w:rsidRDefault="0034312E" w:rsidP="0034312E">
      <w:pPr>
        <w:spacing w:line="276" w:lineRule="auto"/>
        <w:jc w:val="both"/>
        <w:rPr>
          <w:rFonts w:eastAsia="Titillium Lt"/>
          <w:color w:val="002060"/>
        </w:rPr>
      </w:pPr>
      <w:r w:rsidRPr="0034312E">
        <w:rPr>
          <w:rFonts w:eastAsia="Titillium Lt"/>
          <w:color w:val="002060"/>
        </w:rPr>
        <w:t>En caso no se encuentre habilitada la casilla correspondiente, para cargar el documento al sistema, cargar en la opción “DOCUMENTOS ADICIONALES”.</w:t>
      </w:r>
    </w:p>
    <w:p w14:paraId="126DAC9A" w14:textId="77777777" w:rsidR="0034312E" w:rsidRPr="0034312E" w:rsidRDefault="0034312E" w:rsidP="0034312E">
      <w:pPr>
        <w:widowControl/>
        <w:spacing w:before="240" w:line="276" w:lineRule="auto"/>
        <w:jc w:val="both"/>
        <w:rPr>
          <w:rFonts w:eastAsia="Titillium Lt"/>
          <w:b/>
          <w:bCs/>
          <w:color w:val="002060"/>
        </w:rPr>
      </w:pPr>
      <w:r w:rsidRPr="0034312E">
        <w:rPr>
          <w:rFonts w:eastAsia="Titillium Lt"/>
          <w:b/>
          <w:bCs/>
          <w:color w:val="002060"/>
        </w:rPr>
        <w:t xml:space="preserve">Persona o Empresa Individual </w:t>
      </w:r>
    </w:p>
    <w:p w14:paraId="148350C3" w14:textId="77777777" w:rsidR="0034312E" w:rsidRPr="0034312E" w:rsidRDefault="0034312E" w:rsidP="0034312E">
      <w:pPr>
        <w:pStyle w:val="Prrafodelista"/>
        <w:widowControl/>
        <w:numPr>
          <w:ilvl w:val="0"/>
          <w:numId w:val="27"/>
        </w:numPr>
        <w:spacing w:before="120" w:after="120" w:line="276" w:lineRule="auto"/>
        <w:ind w:left="714" w:hanging="357"/>
        <w:contextualSpacing w:val="0"/>
        <w:jc w:val="both"/>
        <w:rPr>
          <w:rFonts w:eastAsia="Titillium Lt"/>
          <w:bCs/>
          <w:color w:val="002060"/>
        </w:rPr>
      </w:pPr>
      <w:r w:rsidRPr="0034312E">
        <w:rPr>
          <w:rFonts w:eastAsia="Titillium Lt"/>
          <w:bCs/>
          <w:color w:val="002060"/>
        </w:rPr>
        <w:t xml:space="preserve">Documento de identificación personal del solicitante: </w:t>
      </w:r>
    </w:p>
    <w:p w14:paraId="0CBE00E4" w14:textId="77777777" w:rsidR="0034312E" w:rsidRPr="0034312E" w:rsidRDefault="0034312E" w:rsidP="0034312E">
      <w:pPr>
        <w:pStyle w:val="Prrafodelista"/>
        <w:widowControl/>
        <w:numPr>
          <w:ilvl w:val="1"/>
          <w:numId w:val="27"/>
        </w:numPr>
        <w:spacing w:before="120" w:after="120" w:line="276" w:lineRule="auto"/>
        <w:contextualSpacing w:val="0"/>
        <w:jc w:val="both"/>
        <w:rPr>
          <w:rFonts w:eastAsia="Titillium Lt"/>
          <w:color w:val="002060"/>
        </w:rPr>
      </w:pPr>
      <w:r w:rsidRPr="0034312E">
        <w:rPr>
          <w:rFonts w:eastAsia="Titillium Lt"/>
          <w:color w:val="002060"/>
        </w:rPr>
        <w:t>NACIONAL: Documento Personal de Identificación (DPI), vigente, de ambos lados</w:t>
      </w:r>
    </w:p>
    <w:p w14:paraId="7034D935" w14:textId="77777777" w:rsidR="0034312E" w:rsidRPr="0034312E" w:rsidRDefault="0034312E" w:rsidP="0034312E">
      <w:pPr>
        <w:pStyle w:val="Prrafodelista"/>
        <w:widowControl/>
        <w:numPr>
          <w:ilvl w:val="1"/>
          <w:numId w:val="27"/>
        </w:numPr>
        <w:spacing w:before="120" w:after="120" w:line="276" w:lineRule="auto"/>
        <w:contextualSpacing w:val="0"/>
        <w:jc w:val="both"/>
        <w:rPr>
          <w:rFonts w:eastAsia="Titillium Lt"/>
          <w:color w:val="002060"/>
        </w:rPr>
      </w:pPr>
      <w:r w:rsidRPr="0034312E">
        <w:rPr>
          <w:rFonts w:eastAsia="Titillium Lt"/>
          <w:color w:val="002060"/>
        </w:rPr>
        <w:t>EXTRANJERO: Pasaporte completo, pasta a pasta</w:t>
      </w:r>
    </w:p>
    <w:p w14:paraId="367DB0CE" w14:textId="77777777" w:rsidR="0034312E" w:rsidRPr="0034312E" w:rsidRDefault="0034312E" w:rsidP="0034312E">
      <w:pPr>
        <w:pStyle w:val="Prrafodelista"/>
        <w:widowControl/>
        <w:numPr>
          <w:ilvl w:val="0"/>
          <w:numId w:val="27"/>
        </w:numPr>
        <w:spacing w:before="120" w:after="120" w:line="276" w:lineRule="auto"/>
        <w:ind w:left="714" w:hanging="357"/>
        <w:contextualSpacing w:val="0"/>
        <w:jc w:val="both"/>
        <w:rPr>
          <w:rFonts w:eastAsia="Titillium Lt"/>
          <w:color w:val="002060"/>
        </w:rPr>
      </w:pPr>
      <w:r w:rsidRPr="0034312E">
        <w:rPr>
          <w:rFonts w:eastAsia="Titillium Lt"/>
          <w:color w:val="002060"/>
        </w:rPr>
        <w:t>Patente de Empresa (cuando proceda)</w:t>
      </w:r>
    </w:p>
    <w:p w14:paraId="0EF48DB4" w14:textId="77777777" w:rsidR="0034312E" w:rsidRPr="0034312E" w:rsidRDefault="0034312E" w:rsidP="0034312E">
      <w:pPr>
        <w:widowControl/>
        <w:spacing w:before="120" w:after="120" w:line="276" w:lineRule="auto"/>
        <w:jc w:val="both"/>
        <w:rPr>
          <w:rFonts w:eastAsia="Titillium Lt"/>
          <w:b/>
          <w:bCs/>
          <w:color w:val="002060"/>
        </w:rPr>
      </w:pPr>
      <w:r w:rsidRPr="0034312E">
        <w:rPr>
          <w:rFonts w:eastAsia="Titillium Lt"/>
          <w:b/>
          <w:bCs/>
          <w:color w:val="002060"/>
        </w:rPr>
        <w:t xml:space="preserve">Persona Jurídica </w:t>
      </w:r>
    </w:p>
    <w:p w14:paraId="56ECF513" w14:textId="77777777" w:rsidR="0034312E" w:rsidRPr="0034312E" w:rsidRDefault="0034312E" w:rsidP="0034312E">
      <w:pPr>
        <w:pStyle w:val="Prrafodelista"/>
        <w:widowControl/>
        <w:numPr>
          <w:ilvl w:val="0"/>
          <w:numId w:val="28"/>
        </w:numPr>
        <w:spacing w:before="120" w:after="120" w:line="276" w:lineRule="auto"/>
        <w:contextualSpacing w:val="0"/>
        <w:jc w:val="both"/>
        <w:rPr>
          <w:rFonts w:eastAsia="Titillium Lt"/>
          <w:bCs/>
          <w:color w:val="002060"/>
        </w:rPr>
      </w:pPr>
      <w:r w:rsidRPr="0034312E">
        <w:rPr>
          <w:rFonts w:eastAsia="Titillium Lt"/>
          <w:bCs/>
          <w:color w:val="002060"/>
        </w:rPr>
        <w:t xml:space="preserve">Documento de identificación personal del solicitante: </w:t>
      </w:r>
    </w:p>
    <w:p w14:paraId="5B82CD11" w14:textId="77777777" w:rsidR="0034312E" w:rsidRPr="0034312E" w:rsidRDefault="0034312E" w:rsidP="0034312E">
      <w:pPr>
        <w:pStyle w:val="Prrafodelista"/>
        <w:widowControl/>
        <w:numPr>
          <w:ilvl w:val="1"/>
          <w:numId w:val="28"/>
        </w:numPr>
        <w:spacing w:before="120" w:after="120" w:line="276" w:lineRule="auto"/>
        <w:contextualSpacing w:val="0"/>
        <w:jc w:val="both"/>
        <w:rPr>
          <w:rFonts w:eastAsia="Titillium Lt"/>
          <w:color w:val="002060"/>
        </w:rPr>
      </w:pPr>
      <w:r w:rsidRPr="0034312E">
        <w:rPr>
          <w:rFonts w:eastAsia="Titillium Lt"/>
          <w:color w:val="002060"/>
        </w:rPr>
        <w:t>NACIONAL: Documento Personal de Identificación (DPI), vigente, de ambos lados</w:t>
      </w:r>
    </w:p>
    <w:p w14:paraId="4401E5FC" w14:textId="77777777" w:rsidR="0034312E" w:rsidRPr="0034312E" w:rsidRDefault="0034312E" w:rsidP="0034312E">
      <w:pPr>
        <w:pStyle w:val="Prrafodelista"/>
        <w:widowControl/>
        <w:numPr>
          <w:ilvl w:val="1"/>
          <w:numId w:val="28"/>
        </w:numPr>
        <w:spacing w:before="120" w:after="120" w:line="276" w:lineRule="auto"/>
        <w:contextualSpacing w:val="0"/>
        <w:jc w:val="both"/>
        <w:rPr>
          <w:rFonts w:eastAsia="Titillium Lt"/>
          <w:color w:val="002060"/>
        </w:rPr>
      </w:pPr>
      <w:r w:rsidRPr="0034312E">
        <w:rPr>
          <w:rFonts w:eastAsia="Titillium Lt"/>
          <w:color w:val="002060"/>
        </w:rPr>
        <w:t>EXTRANJERO: Pasaporte completo, pasta a pasta</w:t>
      </w:r>
    </w:p>
    <w:p w14:paraId="17E0C21A" w14:textId="77777777" w:rsidR="0034312E" w:rsidRPr="0034312E" w:rsidRDefault="0034312E" w:rsidP="0034312E">
      <w:pPr>
        <w:pStyle w:val="Prrafodelista"/>
        <w:widowControl/>
        <w:numPr>
          <w:ilvl w:val="0"/>
          <w:numId w:val="28"/>
        </w:numPr>
        <w:spacing w:before="120" w:after="120" w:line="276" w:lineRule="auto"/>
        <w:contextualSpacing w:val="0"/>
        <w:jc w:val="both"/>
        <w:rPr>
          <w:rFonts w:eastAsia="Titillium Lt"/>
          <w:color w:val="002060"/>
        </w:rPr>
      </w:pPr>
      <w:r w:rsidRPr="0034312E">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248312D9" w14:textId="77777777" w:rsidR="0034312E" w:rsidRPr="0034312E" w:rsidRDefault="0034312E" w:rsidP="0034312E">
      <w:pPr>
        <w:pStyle w:val="Prrafodelista"/>
        <w:widowControl/>
        <w:numPr>
          <w:ilvl w:val="0"/>
          <w:numId w:val="28"/>
        </w:numPr>
        <w:spacing w:before="120" w:after="120" w:line="276" w:lineRule="auto"/>
        <w:contextualSpacing w:val="0"/>
        <w:jc w:val="both"/>
        <w:rPr>
          <w:rFonts w:eastAsia="Titillium Lt"/>
          <w:color w:val="002060"/>
        </w:rPr>
      </w:pPr>
      <w:r w:rsidRPr="0034312E">
        <w:rPr>
          <w:rFonts w:eastAsia="Titillium Lt"/>
          <w:color w:val="002060"/>
        </w:rPr>
        <w:t>Documento con que se acredite la calidad con que actúa el Representante Legal (para el caso de Sector Público presentar documento donde consta el nombramiento y el acta de toma de posesión).</w:t>
      </w:r>
    </w:p>
    <w:p w14:paraId="5376D989" w14:textId="77777777" w:rsidR="0034312E" w:rsidRPr="0034312E" w:rsidRDefault="0034312E" w:rsidP="0034312E">
      <w:pPr>
        <w:pStyle w:val="Prrafodelista"/>
        <w:widowControl/>
        <w:numPr>
          <w:ilvl w:val="0"/>
          <w:numId w:val="28"/>
        </w:numPr>
        <w:spacing w:before="120" w:after="120" w:line="276" w:lineRule="auto"/>
        <w:contextualSpacing w:val="0"/>
        <w:jc w:val="both"/>
        <w:rPr>
          <w:rFonts w:eastAsia="Titillium Lt"/>
          <w:color w:val="002060"/>
        </w:rPr>
      </w:pPr>
      <w:r w:rsidRPr="0034312E">
        <w:rPr>
          <w:rFonts w:eastAsia="Titillium Lt"/>
          <w:color w:val="002060"/>
        </w:rPr>
        <w:t>Patente de Comercio de Empresa y de Sociedad (cuando corresponda)</w:t>
      </w:r>
    </w:p>
    <w:p w14:paraId="11843A48" w14:textId="77777777" w:rsidR="0034312E" w:rsidRPr="0034312E" w:rsidRDefault="0034312E" w:rsidP="0034312E">
      <w:pPr>
        <w:widowControl/>
        <w:spacing w:before="120" w:after="120" w:line="276" w:lineRule="auto"/>
        <w:jc w:val="both"/>
        <w:rPr>
          <w:rFonts w:eastAsia="Titillium Lt"/>
          <w:b/>
          <w:bCs/>
          <w:color w:val="002060"/>
        </w:rPr>
      </w:pPr>
      <w:r w:rsidRPr="0034312E">
        <w:rPr>
          <w:rFonts w:eastAsia="Titillium Lt"/>
          <w:b/>
          <w:bCs/>
          <w:color w:val="002060"/>
        </w:rPr>
        <w:t xml:space="preserve">Para ambas personerías, adjuntar los siguientes formularios y documentos:  </w:t>
      </w:r>
    </w:p>
    <w:p w14:paraId="18BCAA02" w14:textId="298F2044" w:rsidR="0034312E" w:rsidRDefault="0034312E" w:rsidP="0034312E">
      <w:pPr>
        <w:widowControl/>
        <w:numPr>
          <w:ilvl w:val="0"/>
          <w:numId w:val="29"/>
        </w:numPr>
        <w:spacing w:before="120" w:after="120" w:line="276" w:lineRule="auto"/>
        <w:ind w:left="714" w:hanging="572"/>
        <w:jc w:val="both"/>
        <w:rPr>
          <w:rFonts w:eastAsia="Titillium Lt"/>
          <w:color w:val="002060"/>
        </w:rPr>
      </w:pPr>
      <w:r w:rsidRPr="0034312E">
        <w:rPr>
          <w:rFonts w:eastAsia="Titillium Lt"/>
          <w:color w:val="002060"/>
        </w:rPr>
        <w:t>DGE-23 “Formulario de solicitud de Licencia de Transporte de Materiales Radiactivos.”</w:t>
      </w:r>
    </w:p>
    <w:p w14:paraId="72D5AA8A" w14:textId="77777777" w:rsidR="0034312E" w:rsidRDefault="0034312E">
      <w:pPr>
        <w:widowControl/>
        <w:autoSpaceDE/>
        <w:autoSpaceDN/>
        <w:spacing w:after="160" w:line="259" w:lineRule="auto"/>
        <w:rPr>
          <w:rFonts w:eastAsia="Titillium Lt"/>
          <w:color w:val="002060"/>
        </w:rPr>
      </w:pPr>
      <w:r>
        <w:rPr>
          <w:rFonts w:eastAsia="Titillium Lt"/>
          <w:color w:val="002060"/>
        </w:rPr>
        <w:br w:type="page"/>
      </w:r>
    </w:p>
    <w:p w14:paraId="41D0CC9B" w14:textId="66C0F67A"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lastRenderedPageBreak/>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159098E4"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2959D5">
        <w:rPr>
          <w:rFonts w:eastAsia="Titillium Lt"/>
          <w:color w:val="002060"/>
        </w:rPr>
        <w:t>2</w:t>
      </w:r>
      <w:r w:rsidR="0034312E">
        <w:rPr>
          <w:rFonts w:eastAsia="Titillium Lt"/>
          <w:color w:val="002060"/>
        </w:rPr>
        <w:t>3</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13B15132" w:rsidR="0034312E"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14849A4C" w14:textId="77777777" w:rsidR="0034312E" w:rsidRDefault="0034312E">
      <w:pPr>
        <w:widowControl/>
        <w:autoSpaceDE/>
        <w:autoSpaceDN/>
        <w:spacing w:after="160" w:line="259" w:lineRule="auto"/>
        <w:rPr>
          <w:rFonts w:eastAsia="Titillium Lt"/>
          <w:color w:val="002060"/>
        </w:rPr>
      </w:pPr>
      <w:r>
        <w:rPr>
          <w:rFonts w:eastAsia="Titillium Lt"/>
          <w:color w:val="002060"/>
        </w:rPr>
        <w:br w:type="page"/>
      </w:r>
    </w:p>
    <w:p w14:paraId="343CCD79" w14:textId="089D6AF1" w:rsidR="0034312E" w:rsidRPr="0034312E" w:rsidRDefault="0034312E" w:rsidP="0034312E">
      <w:pPr>
        <w:shd w:val="clear" w:color="auto" w:fill="D9E2F3" w:themeFill="accent5" w:themeFillTint="33"/>
        <w:spacing w:before="120" w:line="276" w:lineRule="auto"/>
        <w:jc w:val="center"/>
        <w:rPr>
          <w:rFonts w:eastAsia="Titillium Lt"/>
          <w:b/>
          <w:bCs/>
          <w:color w:val="002060"/>
          <w:sz w:val="20"/>
          <w:szCs w:val="20"/>
          <w:u w:val="single"/>
        </w:rPr>
      </w:pPr>
      <w:r w:rsidRPr="00C04A6E">
        <w:rPr>
          <w:rFonts w:eastAsia="Titillium Lt"/>
          <w:b/>
          <w:bCs/>
          <w:color w:val="002060"/>
          <w:u w:val="single"/>
        </w:rPr>
        <w:lastRenderedPageBreak/>
        <w:t>IMPORTANTE</w:t>
      </w:r>
    </w:p>
    <w:p w14:paraId="1BA375FF" w14:textId="77777777" w:rsidR="0034312E" w:rsidRPr="0034312E" w:rsidRDefault="0034312E" w:rsidP="0034312E">
      <w:pPr>
        <w:spacing w:before="120" w:line="276" w:lineRule="auto"/>
        <w:jc w:val="both"/>
        <w:rPr>
          <w:rFonts w:eastAsia="Titillium Lt"/>
          <w:color w:val="002060"/>
          <w:sz w:val="20"/>
          <w:szCs w:val="20"/>
        </w:rPr>
      </w:pPr>
      <w:r w:rsidRPr="0034312E">
        <w:rPr>
          <w:rFonts w:eastAsia="Titillium Lt"/>
          <w:b/>
          <w:bCs/>
          <w:color w:val="002060"/>
          <w:sz w:val="20"/>
          <w:szCs w:val="20"/>
        </w:rPr>
        <w:t xml:space="preserve">Acuerdo Gubernativo 469-2014, Reglamento de Seguridad Física de Material Nuclear y Radiactivo. Artículo 27. De la seguridad física de materiales nucleares y radiactivos durante el transporte. </w:t>
      </w:r>
      <w:r w:rsidRPr="0034312E">
        <w:rPr>
          <w:rFonts w:eastAsia="Titillium Lt"/>
          <w:color w:val="002060"/>
          <w:sz w:val="20"/>
          <w:szCs w:val="20"/>
        </w:rPr>
        <w:t>Todo Titular de Licencia que desee trasportar material nuclear y radiactivo, además de cumplir con los requisitos de seguridad física exigidos en este Reglamento, deberá cumplir lo que para el efecto determinan la Ley y sus Reglamentos.  Para los casos no contemplados en los mismos, deberá cumplirse con lo que para el caso en concreto indican las recomendaciones internacionales del OIEA, indicadas en “Reglamento para el Transporte Seguro de Materiales Radiactivos,” así como el de la Organización de Naciones Unidas para el Transporte de Mercancías Peligrosas establecidas en el Libro Naranja de la Organización, titulado “Recomendaciones relativas al Transporte de Mercancías Peligrosas”.</w:t>
      </w:r>
    </w:p>
    <w:p w14:paraId="68F285B6" w14:textId="77777777" w:rsidR="0034312E" w:rsidRPr="0034312E" w:rsidRDefault="0034312E" w:rsidP="0034312E">
      <w:pPr>
        <w:spacing w:before="240" w:line="276" w:lineRule="auto"/>
        <w:jc w:val="both"/>
        <w:rPr>
          <w:rFonts w:eastAsia="Titillium Lt"/>
          <w:color w:val="002060"/>
          <w:sz w:val="20"/>
          <w:szCs w:val="20"/>
        </w:rPr>
      </w:pPr>
      <w:r w:rsidRPr="0034312E">
        <w:rPr>
          <w:rFonts w:eastAsia="Titillium Lt"/>
          <w:color w:val="002060"/>
          <w:sz w:val="20"/>
          <w:szCs w:val="20"/>
        </w:rPr>
        <w:t xml:space="preserve">En el artículo i), del Acuerdo Ministerial Número 70-2015, se acuerda adoptar como disposiciones complementarias a la Ley para el Control, Uso y Aplicación de Radioisótopos y Radiaciones Ionizantes y sus Reglamentos, las siguientes guías orientativas del Organismo Internacional de Energía Atómica (OIEA) para la seguridad y protección radiológica de las personas y el medio ambiente, relativas al transporte seguro de materiales radiactivos, considerando el Acuerdo Suplementario sobre la Prestación de Asistencia Técnica por el Organismo Internacional de Energía Atómica al Gobierno de Guatemala, aprobado mediante Decreto número 53-75 del Congreso de la República. </w:t>
      </w:r>
    </w:p>
    <w:p w14:paraId="3B007B4C" w14:textId="77777777" w:rsidR="0034312E" w:rsidRPr="0034312E" w:rsidRDefault="0034312E" w:rsidP="0034312E">
      <w:pPr>
        <w:pStyle w:val="Prrafodelista"/>
        <w:numPr>
          <w:ilvl w:val="0"/>
          <w:numId w:val="41"/>
        </w:numPr>
        <w:spacing w:before="120" w:line="276" w:lineRule="auto"/>
        <w:jc w:val="both"/>
        <w:rPr>
          <w:rFonts w:eastAsia="Titillium Lt"/>
          <w:color w:val="002060"/>
          <w:sz w:val="20"/>
          <w:szCs w:val="20"/>
        </w:rPr>
      </w:pPr>
      <w:r w:rsidRPr="0034312E">
        <w:rPr>
          <w:rFonts w:eastAsia="Titillium Lt"/>
          <w:color w:val="002060"/>
          <w:sz w:val="20"/>
          <w:szCs w:val="20"/>
        </w:rPr>
        <w:t>Reglamento para el transporte seguro de materiales radiactivos (Edición de 2012) No. SSR-6</w:t>
      </w:r>
    </w:p>
    <w:p w14:paraId="1C86E6D5" w14:textId="77777777" w:rsidR="0034312E" w:rsidRPr="0034312E" w:rsidRDefault="0034312E" w:rsidP="0034312E">
      <w:pPr>
        <w:pStyle w:val="Prrafodelista"/>
        <w:numPr>
          <w:ilvl w:val="0"/>
          <w:numId w:val="41"/>
        </w:numPr>
        <w:spacing w:before="120" w:line="276" w:lineRule="auto"/>
        <w:jc w:val="both"/>
        <w:rPr>
          <w:rFonts w:eastAsia="Titillium Lt"/>
          <w:color w:val="002060"/>
          <w:sz w:val="20"/>
          <w:szCs w:val="20"/>
        </w:rPr>
      </w:pPr>
      <w:r w:rsidRPr="0034312E">
        <w:rPr>
          <w:rFonts w:eastAsia="Titillium Lt"/>
          <w:color w:val="002060"/>
          <w:sz w:val="20"/>
          <w:szCs w:val="20"/>
        </w:rPr>
        <w:t>Manual explicativo para la aplicación del reglamento del OIEA para el transporte seguro de materiales radiactivos No. TS-G-1.1</w:t>
      </w:r>
    </w:p>
    <w:p w14:paraId="7E523325" w14:textId="77777777" w:rsidR="0034312E" w:rsidRPr="0034312E" w:rsidRDefault="0034312E" w:rsidP="0034312E">
      <w:pPr>
        <w:pStyle w:val="Prrafodelista"/>
        <w:numPr>
          <w:ilvl w:val="0"/>
          <w:numId w:val="41"/>
        </w:numPr>
        <w:spacing w:before="120" w:line="276" w:lineRule="auto"/>
        <w:jc w:val="both"/>
        <w:rPr>
          <w:rFonts w:eastAsia="Titillium Lt"/>
          <w:color w:val="002060"/>
          <w:sz w:val="20"/>
          <w:szCs w:val="20"/>
        </w:rPr>
      </w:pPr>
      <w:r w:rsidRPr="0034312E">
        <w:rPr>
          <w:rFonts w:eastAsia="Titillium Lt"/>
          <w:color w:val="002060"/>
          <w:sz w:val="20"/>
          <w:szCs w:val="20"/>
        </w:rPr>
        <w:t>Programas de protección radiológica para el transporte de materiales radiactivos No. TS-G-1.</w:t>
      </w:r>
    </w:p>
    <w:p w14:paraId="3281145E" w14:textId="77777777" w:rsidR="0034312E" w:rsidRPr="0034312E" w:rsidRDefault="0034312E" w:rsidP="0034312E">
      <w:pPr>
        <w:shd w:val="clear" w:color="auto" w:fill="D9E2F3" w:themeFill="accent5" w:themeFillTint="33"/>
        <w:spacing w:before="240" w:line="276" w:lineRule="auto"/>
        <w:jc w:val="both"/>
        <w:rPr>
          <w:rFonts w:eastAsia="Titillium Lt"/>
          <w:b/>
          <w:color w:val="002060"/>
          <w:sz w:val="20"/>
          <w:szCs w:val="20"/>
          <w:u w:val="single"/>
        </w:rPr>
      </w:pPr>
      <w:r w:rsidRPr="0034312E">
        <w:rPr>
          <w:rFonts w:eastAsia="Titillium Lt"/>
          <w:b/>
          <w:color w:val="002060"/>
          <w:sz w:val="20"/>
          <w:szCs w:val="20"/>
          <w:u w:val="single"/>
        </w:rPr>
        <w:t xml:space="preserve">Guías orientativas del OIEA para el transporte seguro de materiales radiactivos disponible en: </w:t>
      </w:r>
    </w:p>
    <w:p w14:paraId="1CF732CB" w14:textId="77777777" w:rsidR="0034312E" w:rsidRPr="0034312E" w:rsidRDefault="0034312E" w:rsidP="0034312E">
      <w:pPr>
        <w:spacing w:before="120" w:line="276" w:lineRule="auto"/>
        <w:jc w:val="both"/>
        <w:rPr>
          <w:rFonts w:eastAsia="Titillium Lt"/>
          <w:color w:val="002060"/>
          <w:sz w:val="20"/>
          <w:szCs w:val="20"/>
        </w:rPr>
      </w:pPr>
      <w:r w:rsidRPr="0034312E">
        <w:rPr>
          <w:rFonts w:eastAsia="Titillium Lt"/>
          <w:color w:val="002060"/>
          <w:sz w:val="20"/>
          <w:szCs w:val="20"/>
          <w:u w:val="single"/>
        </w:rPr>
        <w:t>www.mem.gob.gt</w:t>
      </w:r>
      <w:r w:rsidRPr="0034312E">
        <w:rPr>
          <w:rFonts w:eastAsia="Titillium Lt"/>
          <w:color w:val="002060"/>
          <w:sz w:val="20"/>
          <w:szCs w:val="20"/>
        </w:rPr>
        <w:t xml:space="preserve"> → Inicio → Qué hacemos → Área Energética → Seguridad y Protección Radiológica → Marco Regulador → Normativa Técnica → Transporte seguro de materiales radiactivos, Acuerdo Ministerial número 70-2015</w:t>
      </w:r>
    </w:p>
    <w:p w14:paraId="05E3EABF" w14:textId="77777777" w:rsidR="000452E6" w:rsidRDefault="000452E6" w:rsidP="0034312E">
      <w:pPr>
        <w:widowControl/>
        <w:pBdr>
          <w:top w:val="nil"/>
          <w:left w:val="nil"/>
          <w:bottom w:val="nil"/>
          <w:right w:val="nil"/>
          <w:between w:val="nil"/>
        </w:pBdr>
        <w:spacing w:before="120" w:line="276" w:lineRule="auto"/>
        <w:ind w:right="28"/>
        <w:jc w:val="both"/>
        <w:rPr>
          <w:rFonts w:eastAsia="Titillium Lt"/>
          <w:color w:val="002060"/>
        </w:rPr>
      </w:pPr>
    </w:p>
    <w:p w14:paraId="5DAE0206" w14:textId="3792BDF7" w:rsidR="00A85F27" w:rsidRPr="00263450" w:rsidRDefault="00A85F27" w:rsidP="00F451F4">
      <w:pPr>
        <w:widowControl/>
        <w:autoSpaceDE/>
        <w:autoSpaceDN/>
        <w:spacing w:after="160" w:line="259" w:lineRule="auto"/>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82C5" w14:textId="77777777" w:rsidR="00DB3C48" w:rsidRDefault="00DB3C48" w:rsidP="009605AA">
      <w:r>
        <w:separator/>
      </w:r>
    </w:p>
  </w:endnote>
  <w:endnote w:type="continuationSeparator" w:id="0">
    <w:p w14:paraId="195AB801" w14:textId="77777777" w:rsidR="00DB3C48" w:rsidRDefault="00DB3C48"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393C" w14:textId="77777777" w:rsidR="00DB3C48" w:rsidRDefault="00DB3C48" w:rsidP="009605AA">
      <w:r>
        <w:separator/>
      </w:r>
    </w:p>
  </w:footnote>
  <w:footnote w:type="continuationSeparator" w:id="0">
    <w:p w14:paraId="775A6694" w14:textId="77777777" w:rsidR="00DB3C48" w:rsidRDefault="00DB3C48"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1BFD5DC2"/>
    <w:multiLevelType w:val="hybridMultilevel"/>
    <w:tmpl w:val="65A4C5C6"/>
    <w:lvl w:ilvl="0" w:tplc="72D2576E">
      <w:start w:val="1"/>
      <w:numFmt w:val="lowerRoman"/>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2"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2B650082"/>
    <w:multiLevelType w:val="multilevel"/>
    <w:tmpl w:val="31D62956"/>
    <w:lvl w:ilvl="0">
      <w:start w:val="1"/>
      <w:numFmt w:val="decimal"/>
      <w:lvlText w:val="%1."/>
      <w:lvlJc w:val="left"/>
      <w:pPr>
        <w:ind w:left="720" w:hanging="360"/>
      </w:pPr>
      <w:rPr>
        <w:b w:val="0"/>
        <w:color w:val="FF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2CFD1FC0"/>
    <w:multiLevelType w:val="multilevel"/>
    <w:tmpl w:val="06ECD628"/>
    <w:numStyleLink w:val="Estilo1"/>
  </w:abstractNum>
  <w:abstractNum w:abstractNumId="17"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2"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EF1944"/>
    <w:multiLevelType w:val="hybridMultilevel"/>
    <w:tmpl w:val="E01419B6"/>
    <w:lvl w:ilvl="0" w:tplc="CD5E1D6C">
      <w:start w:val="1"/>
      <w:numFmt w:val="lowerRoman"/>
      <w:lvlText w:val="%1."/>
      <w:lvlJc w:val="right"/>
      <w:pPr>
        <w:ind w:left="720" w:hanging="360"/>
      </w:pPr>
      <w:rPr>
        <w:rFonts w:ascii="Titillium Lt" w:hAnsi="Titillium Lt" w:hint="default"/>
        <w:b w:val="0"/>
        <w:bCs/>
        <w:i w:val="0"/>
        <w:color w:val="FF0000"/>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31B1D7C"/>
    <w:multiLevelType w:val="hybridMultilevel"/>
    <w:tmpl w:val="A4F4D172"/>
    <w:lvl w:ilvl="0" w:tplc="9CC60798">
      <w:start w:val="1"/>
      <w:numFmt w:val="lowerRoman"/>
      <w:lvlText w:val="%1."/>
      <w:lvlJc w:val="right"/>
      <w:pPr>
        <w:ind w:left="720" w:hanging="360"/>
      </w:pPr>
      <w:rPr>
        <w:rFonts w:ascii="Titillium Lt" w:hAnsi="Titillium Lt" w:hint="default"/>
        <w:b w:val="0"/>
        <w:bCs/>
        <w:color w:val="FF0000"/>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8"/>
  </w:num>
  <w:num w:numId="3">
    <w:abstractNumId w:val="0"/>
  </w:num>
  <w:num w:numId="4">
    <w:abstractNumId w:val="13"/>
  </w:num>
  <w:num w:numId="5">
    <w:abstractNumId w:val="30"/>
  </w:num>
  <w:num w:numId="6">
    <w:abstractNumId w:val="31"/>
  </w:num>
  <w:num w:numId="7">
    <w:abstractNumId w:val="17"/>
  </w:num>
  <w:num w:numId="8">
    <w:abstractNumId w:val="22"/>
  </w:num>
  <w:num w:numId="9">
    <w:abstractNumId w:val="25"/>
  </w:num>
  <w:num w:numId="10">
    <w:abstractNumId w:val="8"/>
  </w:num>
  <w:num w:numId="11">
    <w:abstractNumId w:val="3"/>
  </w:num>
  <w:num w:numId="12">
    <w:abstractNumId w:val="19"/>
  </w:num>
  <w:num w:numId="13">
    <w:abstractNumId w:val="21"/>
  </w:num>
  <w:num w:numId="14">
    <w:abstractNumId w:val="1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9"/>
  </w:num>
  <w:num w:numId="19">
    <w:abstractNumId w:val="23"/>
  </w:num>
  <w:num w:numId="20">
    <w:abstractNumId w:val="10"/>
  </w:num>
  <w:num w:numId="21">
    <w:abstractNumId w:val="1"/>
  </w:num>
  <w:num w:numId="22">
    <w:abstractNumId w:val="27"/>
  </w:num>
  <w:num w:numId="23">
    <w:abstractNumId w:val="14"/>
  </w:num>
  <w:num w:numId="24">
    <w:abstractNumId w:val="29"/>
  </w:num>
  <w:num w:numId="25">
    <w:abstractNumId w:val="28"/>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
  </w:num>
  <w:num w:numId="33">
    <w:abstractNumId w:val="32"/>
  </w:num>
  <w:num w:numId="34">
    <w:abstractNumId w:val="7"/>
  </w:num>
  <w:num w:numId="35">
    <w:abstractNumId w:val="24"/>
  </w:num>
  <w:num w:numId="36">
    <w:abstractNumId w:val="16"/>
  </w:num>
  <w:num w:numId="37">
    <w:abstractNumId w:val="4"/>
  </w:num>
  <w:num w:numId="38">
    <w:abstractNumId w:val="16"/>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gUOT4V5YaRsvEUR/+0cKg4n6+TAoDPZxJkX3T52KGQS3XGnPuKaZ45SYAewFr+C4yoYcLoMPaVE5yl0yVS6zQ==" w:salt="pfuM0cee4s1FOO/ohhVow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64D8B"/>
    <w:rsid w:val="000878D3"/>
    <w:rsid w:val="0009682D"/>
    <w:rsid w:val="000A05A0"/>
    <w:rsid w:val="000A1A2E"/>
    <w:rsid w:val="000A26C8"/>
    <w:rsid w:val="000A2BB2"/>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959D5"/>
    <w:rsid w:val="002A24E6"/>
    <w:rsid w:val="002A4BFE"/>
    <w:rsid w:val="002A64F2"/>
    <w:rsid w:val="002D6B87"/>
    <w:rsid w:val="002E3854"/>
    <w:rsid w:val="003129DA"/>
    <w:rsid w:val="00315157"/>
    <w:rsid w:val="0032497A"/>
    <w:rsid w:val="00335169"/>
    <w:rsid w:val="00341A31"/>
    <w:rsid w:val="0034312E"/>
    <w:rsid w:val="00344B7A"/>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4133"/>
    <w:rsid w:val="00625120"/>
    <w:rsid w:val="00652634"/>
    <w:rsid w:val="00660420"/>
    <w:rsid w:val="00685AC3"/>
    <w:rsid w:val="00695D09"/>
    <w:rsid w:val="006A4D08"/>
    <w:rsid w:val="006B6466"/>
    <w:rsid w:val="006C02C4"/>
    <w:rsid w:val="006C301B"/>
    <w:rsid w:val="006C5481"/>
    <w:rsid w:val="006F7958"/>
    <w:rsid w:val="00706E03"/>
    <w:rsid w:val="00715B7D"/>
    <w:rsid w:val="00723D48"/>
    <w:rsid w:val="007270AD"/>
    <w:rsid w:val="0073149A"/>
    <w:rsid w:val="00752382"/>
    <w:rsid w:val="00764915"/>
    <w:rsid w:val="00777995"/>
    <w:rsid w:val="00777D4D"/>
    <w:rsid w:val="0078094B"/>
    <w:rsid w:val="00783192"/>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76F3C"/>
    <w:rsid w:val="00980629"/>
    <w:rsid w:val="00984502"/>
    <w:rsid w:val="009A771E"/>
    <w:rsid w:val="009B4278"/>
    <w:rsid w:val="009C2D3D"/>
    <w:rsid w:val="009C34CC"/>
    <w:rsid w:val="009C78B3"/>
    <w:rsid w:val="009D16A4"/>
    <w:rsid w:val="009F5E4F"/>
    <w:rsid w:val="00A02401"/>
    <w:rsid w:val="00A067EE"/>
    <w:rsid w:val="00A15796"/>
    <w:rsid w:val="00A3020C"/>
    <w:rsid w:val="00A32F4B"/>
    <w:rsid w:val="00A400F3"/>
    <w:rsid w:val="00A4438D"/>
    <w:rsid w:val="00A44C30"/>
    <w:rsid w:val="00A578E0"/>
    <w:rsid w:val="00A61567"/>
    <w:rsid w:val="00A67E0D"/>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4A6E"/>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B3C48"/>
    <w:rsid w:val="00DC7104"/>
    <w:rsid w:val="00DD22EA"/>
    <w:rsid w:val="00DE6971"/>
    <w:rsid w:val="00E01A1D"/>
    <w:rsid w:val="00E16E5E"/>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B2F34"/>
    <w:rsid w:val="00EC471E"/>
    <w:rsid w:val="00ED408A"/>
    <w:rsid w:val="00F00066"/>
    <w:rsid w:val="00F174F2"/>
    <w:rsid w:val="00F20B69"/>
    <w:rsid w:val="00F229E9"/>
    <w:rsid w:val="00F24AC6"/>
    <w:rsid w:val="00F257BE"/>
    <w:rsid w:val="00F35504"/>
    <w:rsid w:val="00F3715E"/>
    <w:rsid w:val="00F451F4"/>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340664715">
      <w:bodyDiv w:val="1"/>
      <w:marLeft w:val="0"/>
      <w:marRight w:val="0"/>
      <w:marTop w:val="0"/>
      <w:marBottom w:val="0"/>
      <w:divBdr>
        <w:top w:val="none" w:sz="0" w:space="0" w:color="auto"/>
        <w:left w:val="none" w:sz="0" w:space="0" w:color="auto"/>
        <w:bottom w:val="none" w:sz="0" w:space="0" w:color="auto"/>
        <w:right w:val="none" w:sz="0" w:space="0" w:color="auto"/>
      </w:divBdr>
    </w:div>
    <w:div w:id="445276716">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18036996">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1151992470">
      <w:bodyDiv w:val="1"/>
      <w:marLeft w:val="0"/>
      <w:marRight w:val="0"/>
      <w:marTop w:val="0"/>
      <w:marBottom w:val="0"/>
      <w:divBdr>
        <w:top w:val="none" w:sz="0" w:space="0" w:color="auto"/>
        <w:left w:val="none" w:sz="0" w:space="0" w:color="auto"/>
        <w:bottom w:val="none" w:sz="0" w:space="0" w:color="auto"/>
        <w:right w:val="none" w:sz="0" w:space="0" w:color="auto"/>
      </w:divBdr>
    </w:div>
    <w:div w:id="1733653931">
      <w:bodyDiv w:val="1"/>
      <w:marLeft w:val="0"/>
      <w:marRight w:val="0"/>
      <w:marTop w:val="0"/>
      <w:marBottom w:val="0"/>
      <w:divBdr>
        <w:top w:val="none" w:sz="0" w:space="0" w:color="auto"/>
        <w:left w:val="none" w:sz="0" w:space="0" w:color="auto"/>
        <w:bottom w:val="none" w:sz="0" w:space="0" w:color="auto"/>
        <w:right w:val="none" w:sz="0" w:space="0" w:color="auto"/>
      </w:divBdr>
    </w:div>
    <w:div w:id="1800958040">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5197</Characters>
  <Application>Microsoft Office Word</Application>
  <DocSecurity>8</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6</cp:revision>
  <cp:lastPrinted>2024-02-28T20:15:00Z</cp:lastPrinted>
  <dcterms:created xsi:type="dcterms:W3CDTF">2024-03-01T19:16:00Z</dcterms:created>
  <dcterms:modified xsi:type="dcterms:W3CDTF">2024-03-01T19:32:00Z</dcterms:modified>
</cp:coreProperties>
</file>