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3C495EE0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</w:t>
      </w:r>
      <w:r w:rsidR="001C73D7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AMPLIACION </w:t>
      </w: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DE </w:t>
      </w:r>
      <w:r w:rsidR="004313A3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LICENCIA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 PRODUCTOR 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39E82FDD" w:rsidR="00DE5805" w:rsidRPr="000318F4" w:rsidRDefault="00977E2C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3F74A17F">
                <wp:simplePos x="0" y="0"/>
                <wp:positionH relativeFrom="column">
                  <wp:posOffset>3390900</wp:posOffset>
                </wp:positionH>
                <wp:positionV relativeFrom="paragraph">
                  <wp:posOffset>394335</wp:posOffset>
                </wp:positionV>
                <wp:extent cx="2858135" cy="2076450"/>
                <wp:effectExtent l="0" t="0" r="18415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0C0234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0C0234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Resultado del trámite:</w:t>
                            </w:r>
                          </w:p>
                          <w:p w14:paraId="4AC3862B" w14:textId="7CCEBADC" w:rsidR="00DE5805" w:rsidRPr="000C0234" w:rsidRDefault="00181368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Ampliación de </w:t>
                            </w:r>
                            <w:r w:rsidR="00F13039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Licencia Anual de Productor de Alcohol Carburante</w:t>
                            </w:r>
                          </w:p>
                          <w:p w14:paraId="49FEF14B" w14:textId="77777777" w:rsidR="00DE5805" w:rsidRPr="000C0234" w:rsidRDefault="00DE5805" w:rsidP="00BB116E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  <w:p w14:paraId="547BA3A2" w14:textId="466D1FF7" w:rsidR="00DE5805" w:rsidRPr="000C0234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0C0234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Costo del trámite:</w:t>
                            </w:r>
                          </w:p>
                          <w:p w14:paraId="637033F9" w14:textId="2FE490FA" w:rsidR="00943AD5" w:rsidRPr="000C0234" w:rsidRDefault="00977E2C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De </w:t>
                            </w:r>
                            <w:r w:rsidR="00181368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2 </w:t>
                            </w:r>
                            <w:r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a 110 </w:t>
                            </w:r>
                            <w:r w:rsidR="00181368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Salarios mensuales mínimos vigentes para las actividades no agrícolas de la Circunscripción Económica uno, según el </w:t>
                            </w:r>
                            <w:r w:rsidR="00F13039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artículo 16</w:t>
                            </w:r>
                            <w:r w:rsidR="007B0ACB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 del Acuerdo Gubernativo Número </w:t>
                            </w:r>
                            <w:r w:rsidR="000318F4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257</w:t>
                            </w:r>
                            <w:r w:rsidR="007B0ACB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-</w:t>
                            </w:r>
                            <w:r w:rsidR="000318F4" w:rsidRPr="000C0234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2025.</w:t>
                            </w:r>
                          </w:p>
                          <w:p w14:paraId="37D024CE" w14:textId="77777777" w:rsidR="00DE5805" w:rsidRPr="00520DC3" w:rsidRDefault="00DE5805">
                            <w:pPr>
                              <w:textDirection w:val="btLr"/>
                              <w:rPr>
                                <w:lang w:val="es-GT"/>
                              </w:rPr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left:0;text-align:left;margin-left:267pt;margin-top:31.05pt;width:225.0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0C0234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0C0234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Resultado del trámite:</w:t>
                      </w:r>
                    </w:p>
                    <w:p w14:paraId="4AC3862B" w14:textId="7CCEBADC" w:rsidR="00DE5805" w:rsidRPr="000C0234" w:rsidRDefault="00181368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Ampliación de </w:t>
                      </w:r>
                      <w:r w:rsidR="00F13039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Licencia Anual de Productor de Alcohol Carburante</w:t>
                      </w:r>
                    </w:p>
                    <w:p w14:paraId="49FEF14B" w14:textId="77777777" w:rsidR="00DE5805" w:rsidRPr="000C0234" w:rsidRDefault="00DE5805" w:rsidP="00BB116E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</w:p>
                    <w:p w14:paraId="547BA3A2" w14:textId="466D1FF7" w:rsidR="00DE5805" w:rsidRPr="000C0234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0C0234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Costo del trámite:</w:t>
                      </w:r>
                    </w:p>
                    <w:p w14:paraId="637033F9" w14:textId="2FE490FA" w:rsidR="00943AD5" w:rsidRPr="000C0234" w:rsidRDefault="00977E2C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De </w:t>
                      </w:r>
                      <w:r w:rsidR="00181368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2 </w:t>
                      </w:r>
                      <w:r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a 110 </w:t>
                      </w:r>
                      <w:r w:rsidR="00181368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Salarios mensuales mínimos vigentes para las actividades no agrícolas de la Circunscripción Económica uno, según el </w:t>
                      </w:r>
                      <w:r w:rsidR="00F13039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artículo 16</w:t>
                      </w:r>
                      <w:r w:rsidR="007B0ACB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 del Acuerdo Gubernativo Número </w:t>
                      </w:r>
                      <w:r w:rsidR="000318F4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257</w:t>
                      </w:r>
                      <w:r w:rsidR="007B0ACB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-</w:t>
                      </w:r>
                      <w:r w:rsidR="000318F4" w:rsidRPr="000C0234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2025.</w:t>
                      </w:r>
                    </w:p>
                    <w:p w14:paraId="37D024CE" w14:textId="77777777" w:rsidR="00DE5805" w:rsidRPr="00520DC3" w:rsidRDefault="00DE5805">
                      <w:pPr>
                        <w:textDirection w:val="btLr"/>
                        <w:rPr>
                          <w:lang w:val="es-GT"/>
                        </w:rPr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el trámite que 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los Productores de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arburante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deben realizar ante el Ministerio de Energía y Minas a través de la Dirección Competente para</w:t>
      </w:r>
      <w:r w:rsid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requerir ampliación </w:t>
      </w:r>
      <w:r w:rsidR="001C73D7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por razón de </w:t>
      </w:r>
      <w:r w:rsidR="0018136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cubrir </w:t>
      </w:r>
      <w:r w:rsidR="001C73D7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vol</w:t>
      </w:r>
      <w:r w:rsidR="0018136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ú</w:t>
      </w:r>
      <w:r w:rsidR="001C73D7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men</w:t>
      </w:r>
      <w:r w:rsidR="0018136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1C73D7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anual</w:t>
      </w:r>
      <w:r w:rsidR="00181368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1C73D7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suministro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EA0E2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arburante </w:t>
      </w:r>
      <w:r w:rsidR="00C270B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que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abastezca al mercado local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189226D3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50F5B985" w14:textId="651B0D66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73600721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4A68D2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Requisitos:</w:t>
      </w:r>
    </w:p>
    <w:p w14:paraId="2840E132" w14:textId="77777777" w:rsidR="000C0234" w:rsidRPr="000318F4" w:rsidRDefault="000C0234" w:rsidP="000C0234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EF4F725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76BA1CE8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CF3E1A5" w14:textId="2918F92C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solicitante:</w:t>
      </w:r>
    </w:p>
    <w:p w14:paraId="13247067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8E3C0" w14:textId="777777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Nacionales: Documento Personal de Identificación vigente -DPI- (ambos lados).</w:t>
      </w:r>
    </w:p>
    <w:p w14:paraId="22462FC4" w14:textId="395318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vigente, completo.</w:t>
      </w:r>
    </w:p>
    <w:p w14:paraId="79A3452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09F92" w14:textId="77777777" w:rsidR="00FC7466" w:rsidRPr="00D96B5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de la Patente de Comercio de Empresa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debidamente inscrita</w:t>
      </w: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381652B8" w14:textId="77777777" w:rsidR="00FC7466" w:rsidRPr="00D96B54" w:rsidRDefault="00FC7466" w:rsidP="00FC7466">
      <w:pP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B703CE7" w14:textId="77777777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0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0"/>
    <w:p w14:paraId="2BDD3E8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1B4043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521205D9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773033" w14:textId="580C8217" w:rsidR="00FC7466" w:rsidRPr="00DB4405" w:rsidRDefault="004A68D2" w:rsidP="00FC746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epresentante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egal:</w:t>
      </w:r>
    </w:p>
    <w:p w14:paraId="2F80CA41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ADBDC27" w14:textId="3E478D83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Documento Personal de Identificación vigente -DPI- (ambos lados)</w:t>
      </w:r>
    </w:p>
    <w:p w14:paraId="5F99BB61" w14:textId="6438EA74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Extranjeros: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vigente, completo.</w:t>
      </w:r>
    </w:p>
    <w:p w14:paraId="27B651C8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86C1B75" w14:textId="77777777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T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06661B0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627352F" w14:textId="77777777" w:rsidR="00FC7466" w:rsidRPr="000318F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Patente de Comercio de Empresa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Sociedad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 debidamente inscrita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792FFF8C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16B95E5" w14:textId="3A63F7AF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Acta de Nombramiento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</w:t>
      </w: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igente del Representante Legal, razonado por los Registros que correspondan.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6DCA8A" w14:textId="11C533E4" w:rsidR="00B06E66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0C287231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  <w:tab/>
      </w:r>
    </w:p>
    <w:p w14:paraId="06B186F7" w14:textId="46FC8A24" w:rsidR="00FC7466" w:rsidRPr="002371B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4B7CD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ALC-03</w:t>
      </w:r>
      <w:r w:rsidR="00192520" w:rsidRPr="004B7CD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-</w:t>
      </w:r>
      <w:r w:rsidR="00977E2C" w:rsidRPr="004B7CD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B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“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para solicitud de </w:t>
      </w:r>
      <w:r w:rsidR="006E0F10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Ampliación de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Licencia de Transporte de Alcohol Carburante”.</w:t>
      </w:r>
    </w:p>
    <w:p w14:paraId="639357F1" w14:textId="77777777" w:rsidR="00FC7466" w:rsidRDefault="00FC7466" w:rsidP="00FC7466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E0B29C0" w14:textId="26FF2551" w:rsidR="00FC7466" w:rsidRPr="00FC746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bookmarkStart w:id="1" w:name="_Hlk148596516"/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la Constancia de inscripción en el Registro Tributario Unificado -RTU-, de la Superintendencia de Administración Tributaria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</w:t>
      </w:r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.  </w:t>
      </w:r>
      <w:bookmarkEnd w:id="1"/>
    </w:p>
    <w:p w14:paraId="5D4D59A7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D077480" w14:textId="77777777" w:rsidR="00BC2895" w:rsidRDefault="00FC7466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77542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simple de la Solvencia Fiscal emitida por la Superintendencia de Administración Tributaria dentro de los treinta días anteriores a su presentación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220D5EC5" w14:textId="77777777" w:rsidR="00BC2895" w:rsidRDefault="00BC2895" w:rsidP="00BC2895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666E9EA" w14:textId="3800091F" w:rsidR="00BC2895" w:rsidRPr="00BC2895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Documento en el que conste que cuenta con contratos vigentes de arrendamiento, comodato u otra modalidad legalmente válida, suscritos con titulares de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icencias de Almacenamiento de Petróleo y Productos Petroleros, que amparen la operación de mezcla para la obtención de Gasolinas, según corresponda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</w:p>
    <w:p w14:paraId="7AEDF898" w14:textId="77777777" w:rsidR="00BC2895" w:rsidRPr="00BC2895" w:rsidRDefault="00BC2895" w:rsidP="00BC289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B7550A1" w14:textId="3CD4850C" w:rsidR="00FC7466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Identificación de las licencias relacionadas en el numeral anterior, según corresponda.</w:t>
      </w:r>
    </w:p>
    <w:p w14:paraId="7A137494" w14:textId="77777777" w:rsidR="00943AD5" w:rsidRPr="00BC2895" w:rsidRDefault="00943AD5" w:rsidP="00BC289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158E343" w14:textId="5D639477" w:rsidR="00943AD5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2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Ampliación de 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Productor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2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0CFA2675" w14:textId="77777777" w:rsidR="00181368" w:rsidRDefault="00181368" w:rsidP="00181368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A43900C" w14:textId="0D36F013" w:rsidR="00181368" w:rsidRPr="000318F4" w:rsidRDefault="00181368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Acta notarial en donde </w:t>
      </w:r>
      <w:r w:rsidR="00DC502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sujeto que ejerza la personería de la entidad solicitante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haga constar 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razón de la ampliación </w:t>
      </w:r>
      <w:r w:rsidRPr="0018136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referente a los volúmenes de alcohol carburante </w:t>
      </w:r>
      <w:r w:rsidR="00CA50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del año correspondiente 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suministro de la Mezcla.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2E8F9E04" w14:textId="77777777" w:rsidR="00E01AD0" w:rsidRPr="000318F4" w:rsidRDefault="00E01AD0">
      <w:pPr>
        <w:widowControl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03A2C37" w14:textId="13992214" w:rsidR="002E2246" w:rsidRDefault="002E2246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Previo a solicitar la 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Ampliación de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Licencia de Productor de alcohol carburante, el interesado deberá contar con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Licencia de vigente de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Productor de Alcohol Carburante</w:t>
      </w:r>
      <w:r w:rsidR="006E0F10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y encontrarse debidamente registrado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54D2FCD7" w14:textId="77777777" w:rsidR="002E2246" w:rsidRDefault="002E2246" w:rsidP="002E2246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976EE74" w14:textId="2B99F16A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 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701D23F" w14:textId="77777777" w:rsidR="000C0234" w:rsidRPr="000C0234" w:rsidRDefault="000C0234" w:rsidP="000C0234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BCF33C4" w14:textId="07639BF8" w:rsidR="000C0234" w:rsidRPr="000C0234" w:rsidRDefault="000C0234" w:rsidP="000C023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</w:p>
    <w:p w14:paraId="4A9574D9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5E72718E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DB645FD" w14:textId="77777777" w:rsidR="000C0234" w:rsidRPr="000C0234" w:rsidRDefault="000C0234" w:rsidP="000C0234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77B3BE9" w14:textId="25DD92C6" w:rsidR="000C0234" w:rsidRPr="000C0234" w:rsidRDefault="000C0234" w:rsidP="000C023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2B9CDA93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B7A0681" w14:textId="1CF473E2" w:rsidR="004C2BF8" w:rsidRPr="002E2246" w:rsidRDefault="00520DC3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emitir l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 orden de pago</w:t>
      </w:r>
      <w:r w:rsidR="000847E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del costo correspondiente</w:t>
      </w:r>
      <w:r w:rsidR="006E0F10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se deberá verificar el cumplimiento de los requisitos de la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solicitud de </w:t>
      </w:r>
      <w:r w:rsidR="00BE6C97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Ampliación de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Productor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DC502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asimismo, la Dirección Competente deberá solicitar los dictámenes técnicos que considere necesarios</w:t>
      </w:r>
      <w:r w:rsidR="006E0F10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</w:t>
      </w:r>
      <w:r w:rsidR="000847E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emitir la resolución </w:t>
      </w:r>
      <w:r w:rsidR="004B7CD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que </w:t>
      </w:r>
      <w:r w:rsidR="000847E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correspond</w:t>
      </w:r>
      <w:r w:rsidR="004B7CD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</w:t>
      </w:r>
      <w:r w:rsidR="00DC502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;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dicha orden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deberá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ser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solicita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da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en </w:t>
      </w:r>
      <w:r w:rsidR="004C2BF8" w:rsidRPr="002E224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Ventanilla</w:t>
      </w:r>
      <w:r w:rsidR="00DC7794" w:rsidRPr="002E224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4C2BF8" w:rsidRPr="002E224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la Dirección General de Energía.</w:t>
      </w:r>
    </w:p>
    <w:p w14:paraId="7204C957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3BDA85FB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autorizado por el Ministerio de Energía y Minas</w:t>
      </w:r>
      <w:r w:rsidR="009B478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a través de la Dirección Competente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 proporcionar información sobre el estado de un expediente en trámite, es el Departamento de Gestión Legal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la Dirección General de Energía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4B538A7A" w14:textId="405470D3" w:rsidR="00490D96" w:rsidRDefault="00490D96" w:rsidP="00490D96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ser llenados, impresos, firmados. </w:t>
      </w:r>
    </w:p>
    <w:p w14:paraId="5EF4511F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</w:p>
    <w:p w14:paraId="3954462D" w14:textId="77777777" w:rsidR="00490D96" w:rsidRPr="00490D96" w:rsidRDefault="00490D96" w:rsidP="00490D9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sectPr w:rsidR="00490D96" w:rsidRPr="00490D96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4B33" w14:textId="77777777" w:rsidR="00CC1B97" w:rsidRDefault="00CC1B97">
      <w:r>
        <w:separator/>
      </w:r>
    </w:p>
  </w:endnote>
  <w:endnote w:type="continuationSeparator" w:id="0">
    <w:p w14:paraId="4C5FBD6C" w14:textId="77777777" w:rsidR="00CC1B97" w:rsidRDefault="00CC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8149" w14:textId="77777777" w:rsidR="00CC1B97" w:rsidRDefault="00CC1B97">
      <w:r>
        <w:separator/>
      </w:r>
    </w:p>
  </w:footnote>
  <w:footnote w:type="continuationSeparator" w:id="0">
    <w:p w14:paraId="025AD0D9" w14:textId="77777777" w:rsidR="00CC1B97" w:rsidRDefault="00CC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69B0E0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318F4"/>
    <w:rsid w:val="0006663E"/>
    <w:rsid w:val="000847E8"/>
    <w:rsid w:val="00093798"/>
    <w:rsid w:val="000B7ED2"/>
    <w:rsid w:val="000C0234"/>
    <w:rsid w:val="000C2D98"/>
    <w:rsid w:val="000D1446"/>
    <w:rsid w:val="000E0CE0"/>
    <w:rsid w:val="000E4368"/>
    <w:rsid w:val="000F73A8"/>
    <w:rsid w:val="00105635"/>
    <w:rsid w:val="0014064F"/>
    <w:rsid w:val="00146E01"/>
    <w:rsid w:val="00150264"/>
    <w:rsid w:val="00167947"/>
    <w:rsid w:val="00181368"/>
    <w:rsid w:val="00192520"/>
    <w:rsid w:val="001B3414"/>
    <w:rsid w:val="001C73D7"/>
    <w:rsid w:val="001D180B"/>
    <w:rsid w:val="001D256D"/>
    <w:rsid w:val="001F3BA2"/>
    <w:rsid w:val="00224358"/>
    <w:rsid w:val="00234CA8"/>
    <w:rsid w:val="002377B6"/>
    <w:rsid w:val="00245BF0"/>
    <w:rsid w:val="00254150"/>
    <w:rsid w:val="002704C1"/>
    <w:rsid w:val="00277EA4"/>
    <w:rsid w:val="002817F6"/>
    <w:rsid w:val="002D3834"/>
    <w:rsid w:val="002D6624"/>
    <w:rsid w:val="002E2246"/>
    <w:rsid w:val="002E479A"/>
    <w:rsid w:val="0030181A"/>
    <w:rsid w:val="00310E67"/>
    <w:rsid w:val="00331761"/>
    <w:rsid w:val="003431F1"/>
    <w:rsid w:val="00353094"/>
    <w:rsid w:val="003857CF"/>
    <w:rsid w:val="003A4D38"/>
    <w:rsid w:val="003A52FE"/>
    <w:rsid w:val="003E7B44"/>
    <w:rsid w:val="003F2D74"/>
    <w:rsid w:val="00401E9B"/>
    <w:rsid w:val="004156FC"/>
    <w:rsid w:val="004313A3"/>
    <w:rsid w:val="004437B3"/>
    <w:rsid w:val="00490D96"/>
    <w:rsid w:val="004A68D2"/>
    <w:rsid w:val="004B7CD5"/>
    <w:rsid w:val="004C22A0"/>
    <w:rsid w:val="004C2BF8"/>
    <w:rsid w:val="004C3F31"/>
    <w:rsid w:val="004C5E56"/>
    <w:rsid w:val="004E4559"/>
    <w:rsid w:val="004F102D"/>
    <w:rsid w:val="004F1712"/>
    <w:rsid w:val="00511220"/>
    <w:rsid w:val="005135B7"/>
    <w:rsid w:val="00520DC3"/>
    <w:rsid w:val="00525D19"/>
    <w:rsid w:val="00530B42"/>
    <w:rsid w:val="005538D7"/>
    <w:rsid w:val="00562AA5"/>
    <w:rsid w:val="005636C1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6DF3"/>
    <w:rsid w:val="00684BB9"/>
    <w:rsid w:val="006B0644"/>
    <w:rsid w:val="006D4E08"/>
    <w:rsid w:val="006E0F10"/>
    <w:rsid w:val="006E682D"/>
    <w:rsid w:val="007023F2"/>
    <w:rsid w:val="00705872"/>
    <w:rsid w:val="00745D8C"/>
    <w:rsid w:val="00754BF1"/>
    <w:rsid w:val="00762C22"/>
    <w:rsid w:val="00764CB8"/>
    <w:rsid w:val="00774DE1"/>
    <w:rsid w:val="00783C6D"/>
    <w:rsid w:val="007865C9"/>
    <w:rsid w:val="00792228"/>
    <w:rsid w:val="007A01A3"/>
    <w:rsid w:val="007A5133"/>
    <w:rsid w:val="007B0ACB"/>
    <w:rsid w:val="007B69FE"/>
    <w:rsid w:val="007B748A"/>
    <w:rsid w:val="007C3C26"/>
    <w:rsid w:val="007F2FE7"/>
    <w:rsid w:val="00802594"/>
    <w:rsid w:val="00831710"/>
    <w:rsid w:val="00833FFE"/>
    <w:rsid w:val="00836983"/>
    <w:rsid w:val="00860BBC"/>
    <w:rsid w:val="00897137"/>
    <w:rsid w:val="008E020E"/>
    <w:rsid w:val="008E7398"/>
    <w:rsid w:val="00933FF3"/>
    <w:rsid w:val="00940387"/>
    <w:rsid w:val="00942D17"/>
    <w:rsid w:val="0094340F"/>
    <w:rsid w:val="00943AD5"/>
    <w:rsid w:val="00957404"/>
    <w:rsid w:val="00966394"/>
    <w:rsid w:val="00977E2C"/>
    <w:rsid w:val="00996456"/>
    <w:rsid w:val="009B478E"/>
    <w:rsid w:val="009D0DAC"/>
    <w:rsid w:val="009D3667"/>
    <w:rsid w:val="009D4A7A"/>
    <w:rsid w:val="009F6A9B"/>
    <w:rsid w:val="00A04D5D"/>
    <w:rsid w:val="00A11E53"/>
    <w:rsid w:val="00A150C5"/>
    <w:rsid w:val="00A330A9"/>
    <w:rsid w:val="00A41A07"/>
    <w:rsid w:val="00A46695"/>
    <w:rsid w:val="00A536A7"/>
    <w:rsid w:val="00A54D4D"/>
    <w:rsid w:val="00A61778"/>
    <w:rsid w:val="00A62704"/>
    <w:rsid w:val="00A72570"/>
    <w:rsid w:val="00A72B7B"/>
    <w:rsid w:val="00A9079D"/>
    <w:rsid w:val="00AA2EC0"/>
    <w:rsid w:val="00AA7F20"/>
    <w:rsid w:val="00AB1D8F"/>
    <w:rsid w:val="00AB5EA8"/>
    <w:rsid w:val="00AC6873"/>
    <w:rsid w:val="00AE6DC2"/>
    <w:rsid w:val="00B06E66"/>
    <w:rsid w:val="00B27041"/>
    <w:rsid w:val="00B34071"/>
    <w:rsid w:val="00B35968"/>
    <w:rsid w:val="00B47AFA"/>
    <w:rsid w:val="00BA0A18"/>
    <w:rsid w:val="00BA1396"/>
    <w:rsid w:val="00BB05BB"/>
    <w:rsid w:val="00BB116E"/>
    <w:rsid w:val="00BC2895"/>
    <w:rsid w:val="00BD5B32"/>
    <w:rsid w:val="00BE4A3D"/>
    <w:rsid w:val="00BE6C97"/>
    <w:rsid w:val="00BF2AEA"/>
    <w:rsid w:val="00BF3ADC"/>
    <w:rsid w:val="00BF43B0"/>
    <w:rsid w:val="00BF700C"/>
    <w:rsid w:val="00C10753"/>
    <w:rsid w:val="00C112AF"/>
    <w:rsid w:val="00C177D2"/>
    <w:rsid w:val="00C270BF"/>
    <w:rsid w:val="00C50197"/>
    <w:rsid w:val="00C64854"/>
    <w:rsid w:val="00C90665"/>
    <w:rsid w:val="00CA40AF"/>
    <w:rsid w:val="00CA5095"/>
    <w:rsid w:val="00CC11D7"/>
    <w:rsid w:val="00CC1B97"/>
    <w:rsid w:val="00CF61E0"/>
    <w:rsid w:val="00D03310"/>
    <w:rsid w:val="00D16133"/>
    <w:rsid w:val="00D30DF2"/>
    <w:rsid w:val="00D32E9C"/>
    <w:rsid w:val="00D41E62"/>
    <w:rsid w:val="00D65C2E"/>
    <w:rsid w:val="00D730E8"/>
    <w:rsid w:val="00D803A6"/>
    <w:rsid w:val="00DB4405"/>
    <w:rsid w:val="00DC4D6F"/>
    <w:rsid w:val="00DC502E"/>
    <w:rsid w:val="00DC7794"/>
    <w:rsid w:val="00DD2DD3"/>
    <w:rsid w:val="00DD302D"/>
    <w:rsid w:val="00DD5EDE"/>
    <w:rsid w:val="00DE5805"/>
    <w:rsid w:val="00DF280C"/>
    <w:rsid w:val="00E01225"/>
    <w:rsid w:val="00E01AD0"/>
    <w:rsid w:val="00E03D0B"/>
    <w:rsid w:val="00E34E18"/>
    <w:rsid w:val="00E37ED1"/>
    <w:rsid w:val="00E4420C"/>
    <w:rsid w:val="00E44E9B"/>
    <w:rsid w:val="00E66D87"/>
    <w:rsid w:val="00E71DF8"/>
    <w:rsid w:val="00E735C1"/>
    <w:rsid w:val="00E82EB3"/>
    <w:rsid w:val="00EA0E27"/>
    <w:rsid w:val="00EA313B"/>
    <w:rsid w:val="00EA429C"/>
    <w:rsid w:val="00EA44BC"/>
    <w:rsid w:val="00EB729C"/>
    <w:rsid w:val="00EC1BCE"/>
    <w:rsid w:val="00EF00D7"/>
    <w:rsid w:val="00EF143C"/>
    <w:rsid w:val="00EF79F2"/>
    <w:rsid w:val="00F07BC4"/>
    <w:rsid w:val="00F12AC3"/>
    <w:rsid w:val="00F13039"/>
    <w:rsid w:val="00F4007F"/>
    <w:rsid w:val="00F46707"/>
    <w:rsid w:val="00F46731"/>
    <w:rsid w:val="00F6620A"/>
    <w:rsid w:val="00F706D4"/>
    <w:rsid w:val="00F76F9F"/>
    <w:rsid w:val="00F77F99"/>
    <w:rsid w:val="00F84564"/>
    <w:rsid w:val="00FA0F92"/>
    <w:rsid w:val="00FC7466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Props1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4</cp:revision>
  <cp:lastPrinted>2023-09-07T19:04:00Z</cp:lastPrinted>
  <dcterms:created xsi:type="dcterms:W3CDTF">2026-02-21T04:13:00Z</dcterms:created>
  <dcterms:modified xsi:type="dcterms:W3CDTF">2026-02-23T18:08:00Z</dcterms:modified>
</cp:coreProperties>
</file>